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3BE2" w14:textId="7428EF5D" w:rsidR="00DF1D98" w:rsidRPr="00D904DC" w:rsidRDefault="00396B55">
      <w:pPr>
        <w:pStyle w:val="P68B1DB1-Normal1"/>
        <w:contextualSpacing/>
        <w:rPr>
          <w:rFonts w:ascii="Oracle Sans" w:hAnsi="Oracle Sans"/>
        </w:rPr>
      </w:pPr>
      <w:r w:rsidRPr="00AE3486">
        <w:rPr>
          <w:noProof/>
        </w:rPr>
        <w:drawing>
          <wp:inline distT="0" distB="0" distL="0" distR="0" wp14:anchorId="6173ACBB" wp14:editId="799CD901">
            <wp:extent cx="1485900" cy="288083"/>
            <wp:effectExtent l="0" t="0" r="0" b="0"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78" cy="29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4DC" w:rsidRPr="00D904DC">
        <w:rPr>
          <w:rFonts w:ascii="Oracle Sans" w:hAnsi="Oracle Sans"/>
        </w:rPr>
        <w:t xml:space="preserve"> Comunicato stampa</w:t>
      </w:r>
    </w:p>
    <w:p w14:paraId="71642B22" w14:textId="77777777" w:rsidR="00DF1D98" w:rsidRPr="00D904DC" w:rsidRDefault="00DF1D98">
      <w:pPr>
        <w:autoSpaceDE w:val="0"/>
        <w:autoSpaceDN w:val="0"/>
        <w:adjustRightInd w:val="0"/>
        <w:rPr>
          <w:rFonts w:ascii="Oracle Sans" w:hAnsi="Oracle Sans" w:cs="Arial"/>
          <w:b/>
          <w:color w:val="000000"/>
          <w:sz w:val="22"/>
        </w:rPr>
      </w:pPr>
    </w:p>
    <w:p w14:paraId="5AF6E16A" w14:textId="03BB12E8" w:rsidR="00DF1D98" w:rsidRPr="00D904DC" w:rsidRDefault="00D904DC">
      <w:pPr>
        <w:pStyle w:val="P68B1DB1-Normal2"/>
        <w:autoSpaceDE w:val="0"/>
        <w:autoSpaceDN w:val="0"/>
        <w:adjustRightInd w:val="0"/>
        <w:jc w:val="center"/>
        <w:rPr>
          <w:rFonts w:ascii="Oracle Sans" w:hAnsi="Oracle Sans"/>
        </w:rPr>
      </w:pPr>
      <w:r w:rsidRPr="00D904DC">
        <w:rPr>
          <w:rFonts w:ascii="Oracle Sans" w:hAnsi="Oracle Sans"/>
        </w:rPr>
        <w:t xml:space="preserve">Oracle offre nuove funzionalità di logistica per </w:t>
      </w:r>
      <w:r w:rsidR="003862FF" w:rsidRPr="00D904DC">
        <w:rPr>
          <w:rFonts w:ascii="Oracle Sans" w:hAnsi="Oracle Sans"/>
        </w:rPr>
        <w:t>ri</w:t>
      </w:r>
      <w:r w:rsidRPr="00D904DC">
        <w:rPr>
          <w:rFonts w:ascii="Oracle Sans" w:hAnsi="Oracle Sans"/>
        </w:rPr>
        <w:t xml:space="preserve">mettere in moto </w:t>
      </w:r>
      <w:r w:rsidR="004D4D0E" w:rsidRPr="00D904DC">
        <w:rPr>
          <w:rFonts w:ascii="Oracle Sans" w:hAnsi="Oracle Sans"/>
        </w:rPr>
        <w:br/>
      </w:r>
      <w:r w:rsidRPr="00D904DC">
        <w:rPr>
          <w:rFonts w:ascii="Oracle Sans" w:hAnsi="Oracle Sans"/>
        </w:rPr>
        <w:t xml:space="preserve">le </w:t>
      </w:r>
      <w:r w:rsidRPr="00D904DC">
        <w:rPr>
          <w:rFonts w:ascii="Oracle Sans" w:hAnsi="Oracle Sans"/>
          <w:i/>
          <w:iCs/>
        </w:rPr>
        <w:t>supply chain</w:t>
      </w:r>
      <w:r w:rsidRPr="00D904DC">
        <w:rPr>
          <w:rFonts w:ascii="Oracle Sans" w:hAnsi="Oracle Sans"/>
        </w:rPr>
        <w:t xml:space="preserve"> globali</w:t>
      </w:r>
    </w:p>
    <w:p w14:paraId="306D3720" w14:textId="1ABE4CB5" w:rsidR="00DF1D98" w:rsidRPr="00D904DC" w:rsidRDefault="00DF1D98" w:rsidP="003862FF">
      <w:pPr>
        <w:autoSpaceDE w:val="0"/>
        <w:autoSpaceDN w:val="0"/>
        <w:adjustRightInd w:val="0"/>
        <w:jc w:val="center"/>
        <w:rPr>
          <w:rFonts w:ascii="Oracle Sans" w:hAnsi="Oracle Sans" w:cs="Arial"/>
          <w:b/>
          <w:color w:val="000000"/>
          <w:sz w:val="22"/>
        </w:rPr>
      </w:pPr>
    </w:p>
    <w:p w14:paraId="08AAB4DC" w14:textId="77777777" w:rsidR="00F53732" w:rsidRPr="00D904DC" w:rsidRDefault="00D904DC" w:rsidP="003862FF">
      <w:pPr>
        <w:pStyle w:val="P68B1DB1-Normal3"/>
        <w:autoSpaceDE w:val="0"/>
        <w:autoSpaceDN w:val="0"/>
        <w:adjustRightInd w:val="0"/>
        <w:jc w:val="center"/>
        <w:rPr>
          <w:rFonts w:ascii="Oracle Sans" w:hAnsi="Oracle Sans"/>
        </w:rPr>
      </w:pPr>
      <w:r w:rsidRPr="00D904DC">
        <w:rPr>
          <w:rFonts w:ascii="Oracle Sans" w:hAnsi="Oracle Sans"/>
        </w:rPr>
        <w:t>Le nuove funzion</w:t>
      </w:r>
      <w:r w:rsidR="003862FF" w:rsidRPr="00D904DC">
        <w:rPr>
          <w:rFonts w:ascii="Oracle Sans" w:hAnsi="Oracle Sans"/>
        </w:rPr>
        <w:t>alità</w:t>
      </w:r>
      <w:r w:rsidRPr="00D904DC">
        <w:rPr>
          <w:rFonts w:ascii="Oracle Sans" w:hAnsi="Oracle Sans"/>
        </w:rPr>
        <w:t xml:space="preserve"> </w:t>
      </w:r>
      <w:r w:rsidR="00F53732" w:rsidRPr="00D904DC">
        <w:rPr>
          <w:rFonts w:ascii="Oracle Sans" w:hAnsi="Oracle Sans"/>
        </w:rPr>
        <w:t xml:space="preserve">in Oracle Cloud SCM </w:t>
      </w:r>
      <w:r w:rsidRPr="00D904DC">
        <w:rPr>
          <w:rFonts w:ascii="Oracle Sans" w:hAnsi="Oracle Sans"/>
        </w:rPr>
        <w:t xml:space="preserve">aiutano i clienti a ridurre i costi, </w:t>
      </w:r>
    </w:p>
    <w:p w14:paraId="5A2C768B" w14:textId="640BE1B3" w:rsidR="00DF1D98" w:rsidRPr="00D904DC" w:rsidRDefault="00D904DC" w:rsidP="003862FF">
      <w:pPr>
        <w:pStyle w:val="P68B1DB1-Normal3"/>
        <w:autoSpaceDE w:val="0"/>
        <w:autoSpaceDN w:val="0"/>
        <w:adjustRightInd w:val="0"/>
        <w:jc w:val="center"/>
        <w:rPr>
          <w:rFonts w:ascii="Oracle Sans" w:hAnsi="Oracle Sans"/>
          <w:color w:val="161513"/>
          <w:shd w:val="clear" w:color="auto" w:fill="FFFFFF"/>
        </w:rPr>
      </w:pPr>
      <w:r w:rsidRPr="00D904DC">
        <w:rPr>
          <w:rFonts w:ascii="Oracle Sans" w:hAnsi="Oracle Sans"/>
        </w:rPr>
        <w:t>migliorare l'accuratezza, automatizzare</w:t>
      </w:r>
      <w:r w:rsidR="003862FF" w:rsidRPr="00D904DC">
        <w:rPr>
          <w:rFonts w:ascii="Oracle Sans" w:hAnsi="Oracle Sans"/>
        </w:rPr>
        <w:t xml:space="preserve"> </w:t>
      </w:r>
      <w:r w:rsidR="004D4D0E" w:rsidRPr="00D904DC">
        <w:rPr>
          <w:rFonts w:ascii="Oracle Sans" w:hAnsi="Oracle Sans"/>
        </w:rPr>
        <w:t>i processi di</w:t>
      </w:r>
      <w:r w:rsidRPr="00D904DC">
        <w:rPr>
          <w:rFonts w:ascii="Oracle Sans" w:hAnsi="Oracle Sans"/>
        </w:rPr>
        <w:t xml:space="preserve"> compliance normativa </w:t>
      </w:r>
      <w:r w:rsidR="00F53732" w:rsidRPr="00D904DC">
        <w:rPr>
          <w:rFonts w:ascii="Oracle Sans" w:hAnsi="Oracle Sans"/>
        </w:rPr>
        <w:br/>
      </w:r>
      <w:r w:rsidRPr="00D904DC">
        <w:rPr>
          <w:rFonts w:ascii="Oracle Sans" w:hAnsi="Oracle Sans"/>
        </w:rPr>
        <w:t>e aumentare la flessibilità</w:t>
      </w:r>
    </w:p>
    <w:p w14:paraId="40A1C2AC" w14:textId="77777777" w:rsidR="00DF1D98" w:rsidRPr="00D904DC" w:rsidRDefault="00DF1D98" w:rsidP="004D6888">
      <w:pPr>
        <w:autoSpaceDE w:val="0"/>
        <w:autoSpaceDN w:val="0"/>
        <w:adjustRightInd w:val="0"/>
        <w:jc w:val="both"/>
        <w:rPr>
          <w:rFonts w:ascii="Oracle Sans" w:hAnsi="Oracle Sans" w:cs="Arial"/>
          <w:i/>
          <w:color w:val="000000"/>
          <w:sz w:val="22"/>
        </w:rPr>
      </w:pPr>
    </w:p>
    <w:p w14:paraId="2C16B7CA" w14:textId="79366340" w:rsidR="00DF1D98" w:rsidRPr="004D6888" w:rsidRDefault="00F53732" w:rsidP="004D6888">
      <w:pPr>
        <w:autoSpaceDE w:val="0"/>
        <w:autoSpaceDN w:val="0"/>
        <w:adjustRightInd w:val="0"/>
        <w:jc w:val="both"/>
        <w:rPr>
          <w:rFonts w:ascii="Oracle Sans" w:hAnsi="Oracle Sans" w:cs="Arial"/>
          <w:sz w:val="22"/>
        </w:rPr>
      </w:pPr>
      <w:r w:rsidRPr="004D6888">
        <w:rPr>
          <w:rStyle w:val="Enfasigrassetto"/>
          <w:rFonts w:ascii="Oracle Sans" w:hAnsi="Oracle Sans" w:cs="Arial"/>
          <w:sz w:val="22"/>
          <w:shd w:val="clear" w:color="auto" w:fill="FFFFFF"/>
        </w:rPr>
        <w:t>Milano/</w:t>
      </w:r>
      <w:r w:rsidR="00D904DC" w:rsidRPr="004D6888">
        <w:rPr>
          <w:rStyle w:val="Enfasigrassetto"/>
          <w:rFonts w:ascii="Oracle Sans" w:hAnsi="Oracle Sans" w:cs="Arial"/>
          <w:sz w:val="22"/>
          <w:shd w:val="clear" w:color="auto" w:fill="FFFFFF"/>
        </w:rPr>
        <w:t>Austi</w:t>
      </w:r>
      <w:r w:rsidRPr="004D6888">
        <w:rPr>
          <w:rStyle w:val="Enfasigrassetto"/>
          <w:rFonts w:ascii="Oracle Sans" w:hAnsi="Oracle Sans" w:cs="Arial"/>
          <w:sz w:val="22"/>
          <w:shd w:val="clear" w:color="auto" w:fill="FFFFFF"/>
        </w:rPr>
        <w:t>n (USA),</w:t>
      </w:r>
      <w:r w:rsidR="00D904DC" w:rsidRPr="004D6888">
        <w:rPr>
          <w:rStyle w:val="Enfasigrassetto"/>
          <w:rFonts w:ascii="Oracle Sans" w:hAnsi="Oracle Sans" w:cs="Arial"/>
          <w:sz w:val="22"/>
          <w:shd w:val="clear" w:color="auto" w:fill="FFFFFF"/>
        </w:rPr>
        <w:t xml:space="preserve"> 24 gennaio 2023 </w:t>
      </w:r>
      <w:r w:rsidR="00D904DC" w:rsidRPr="004D6888">
        <w:rPr>
          <w:rFonts w:ascii="Oracle Sans" w:hAnsi="Oracle Sans" w:cs="Arial"/>
          <w:b/>
          <w:sz w:val="22"/>
        </w:rPr>
        <w:t xml:space="preserve">- </w:t>
      </w:r>
      <w:r w:rsidR="00D904DC" w:rsidRPr="004D6888">
        <w:rPr>
          <w:rFonts w:ascii="Oracle Sans" w:hAnsi="Oracle Sans" w:cs="Arial"/>
          <w:sz w:val="22"/>
        </w:rPr>
        <w:t xml:space="preserve">Per aiutare le organizzazioni a migliorare l'efficienza delle supply chain globali, Oracle sta </w:t>
      </w:r>
      <w:r w:rsidR="004D4D0E" w:rsidRPr="004D6888">
        <w:rPr>
          <w:rFonts w:ascii="Oracle Sans" w:hAnsi="Oracle Sans" w:cs="Arial"/>
          <w:sz w:val="22"/>
        </w:rPr>
        <w:t xml:space="preserve">integrando </w:t>
      </w:r>
      <w:r w:rsidR="00D904DC" w:rsidRPr="004D6888">
        <w:rPr>
          <w:rFonts w:ascii="Oracle Sans" w:hAnsi="Oracle Sans" w:cs="Arial"/>
          <w:sz w:val="22"/>
        </w:rPr>
        <w:t xml:space="preserve">nuove funzionalità </w:t>
      </w:r>
      <w:r w:rsidR="004D4D0E" w:rsidRPr="004D6888">
        <w:rPr>
          <w:rFonts w:ascii="Oracle Sans" w:hAnsi="Oracle Sans" w:cs="Arial"/>
          <w:sz w:val="22"/>
        </w:rPr>
        <w:t xml:space="preserve">per la </w:t>
      </w:r>
      <w:r w:rsidR="00D904DC" w:rsidRPr="004D6888">
        <w:rPr>
          <w:rFonts w:ascii="Oracle Sans" w:hAnsi="Oracle Sans" w:cs="Arial"/>
          <w:sz w:val="22"/>
        </w:rPr>
        <w:t xml:space="preserve">logistica </w:t>
      </w:r>
      <w:r w:rsidR="004D4D0E" w:rsidRPr="004D6888">
        <w:rPr>
          <w:rFonts w:ascii="Oracle Sans" w:hAnsi="Oracle Sans" w:cs="Arial"/>
          <w:sz w:val="22"/>
        </w:rPr>
        <w:t xml:space="preserve">in </w:t>
      </w:r>
      <w:hyperlink r:id="rId7" w:history="1">
        <w:r w:rsidR="00D904DC" w:rsidRPr="004D6888">
          <w:rPr>
            <w:rStyle w:val="Collegamentoipertestuale"/>
            <w:rFonts w:ascii="Oracle Sans" w:hAnsi="Oracle Sans" w:cs="Arial"/>
            <w:sz w:val="22"/>
          </w:rPr>
          <w:t>Oracle Fusion Cloud Supply Chain &amp; Manufacturing (SCM)</w:t>
        </w:r>
      </w:hyperlink>
      <w:r w:rsidR="00D904DC" w:rsidRPr="004D6888">
        <w:rPr>
          <w:rFonts w:ascii="Oracle Sans" w:hAnsi="Oracle Sans" w:cs="Arial"/>
          <w:sz w:val="22"/>
        </w:rPr>
        <w:t xml:space="preserve">. Gli aggiornamenti a </w:t>
      </w:r>
      <w:hyperlink r:id="rId8" w:history="1">
        <w:r w:rsidR="00D904DC" w:rsidRPr="004D6888">
          <w:rPr>
            <w:rStyle w:val="Collegamentoipertestuale"/>
            <w:rFonts w:ascii="Oracle Sans" w:hAnsi="Oracle Sans" w:cs="Arial"/>
            <w:sz w:val="22"/>
          </w:rPr>
          <w:t>Oracle Transportation Management (OTM)</w:t>
        </w:r>
      </w:hyperlink>
      <w:r w:rsidR="00D904DC" w:rsidRPr="004D6888">
        <w:rPr>
          <w:rFonts w:ascii="Oracle Sans" w:hAnsi="Oracle Sans" w:cs="Arial"/>
          <w:sz w:val="22"/>
        </w:rPr>
        <w:t xml:space="preserve"> e </w:t>
      </w:r>
      <w:hyperlink r:id="rId9" w:history="1">
        <w:r w:rsidR="00D904DC" w:rsidRPr="004D6888">
          <w:rPr>
            <w:rStyle w:val="Collegamentoipertestuale"/>
            <w:rFonts w:ascii="Oracle Sans" w:hAnsi="Oracle Sans" w:cs="Arial"/>
            <w:sz w:val="22"/>
          </w:rPr>
          <w:t>Oracle Global Trade Management (GTM)</w:t>
        </w:r>
      </w:hyperlink>
      <w:r w:rsidR="00D904DC" w:rsidRPr="004D6888">
        <w:rPr>
          <w:rFonts w:ascii="Oracle Sans" w:hAnsi="Oracle Sans" w:cs="Arial"/>
          <w:sz w:val="22"/>
        </w:rPr>
        <w:t xml:space="preserve">, che fanno parte di Oracle Cloud SCM, aiutano i clienti a ridurre i costi, aumentare l'accuratezza, automatizzare </w:t>
      </w:r>
      <w:r w:rsidR="004D4D0E" w:rsidRPr="004D6888">
        <w:rPr>
          <w:rFonts w:ascii="Oracle Sans" w:hAnsi="Oracle Sans" w:cs="Arial"/>
          <w:sz w:val="22"/>
        </w:rPr>
        <w:t xml:space="preserve">i processi di </w:t>
      </w:r>
      <w:r w:rsidR="00D904DC" w:rsidRPr="004D6888">
        <w:rPr>
          <w:rFonts w:ascii="Oracle Sans" w:hAnsi="Oracle Sans" w:cs="Arial"/>
          <w:i/>
          <w:iCs/>
          <w:sz w:val="22"/>
        </w:rPr>
        <w:t xml:space="preserve">compliance </w:t>
      </w:r>
      <w:r w:rsidR="00D904DC" w:rsidRPr="004D6888">
        <w:rPr>
          <w:rFonts w:ascii="Oracle Sans" w:hAnsi="Oracle Sans" w:cs="Arial"/>
          <w:sz w:val="22"/>
        </w:rPr>
        <w:t>normativa e migliorare la flessibilità</w:t>
      </w:r>
      <w:r w:rsidR="004D4D0E" w:rsidRPr="004D6888">
        <w:rPr>
          <w:rFonts w:ascii="Oracle Sans" w:hAnsi="Oracle Sans" w:cs="Arial"/>
          <w:sz w:val="22"/>
        </w:rPr>
        <w:t>.</w:t>
      </w:r>
    </w:p>
    <w:p w14:paraId="3BBE8111" w14:textId="77777777" w:rsidR="00DF1D98" w:rsidRPr="004D6888" w:rsidRDefault="00DF1D98" w:rsidP="004D6888">
      <w:pPr>
        <w:autoSpaceDE w:val="0"/>
        <w:autoSpaceDN w:val="0"/>
        <w:adjustRightInd w:val="0"/>
        <w:jc w:val="both"/>
        <w:rPr>
          <w:rFonts w:ascii="Oracle Sans" w:hAnsi="Oracle Sans" w:cs="Arial"/>
          <w:sz w:val="22"/>
        </w:rPr>
      </w:pPr>
    </w:p>
    <w:p w14:paraId="33E23293" w14:textId="0FBEAF8A" w:rsidR="00DF1D98" w:rsidRPr="004D6888" w:rsidRDefault="00DE5448" w:rsidP="004D6888">
      <w:pPr>
        <w:pStyle w:val="P68B1DB1-Normal4"/>
        <w:autoSpaceDE w:val="0"/>
        <w:autoSpaceDN w:val="0"/>
        <w:adjustRightInd w:val="0"/>
        <w:jc w:val="both"/>
        <w:rPr>
          <w:rFonts w:ascii="Oracle Sans" w:hAnsi="Oracle Sans"/>
        </w:rPr>
      </w:pPr>
      <w:r w:rsidRPr="004D6888">
        <w:rPr>
          <w:rFonts w:ascii="Oracle Sans" w:hAnsi="Oracle Sans"/>
        </w:rPr>
        <w:t>G</w:t>
      </w:r>
      <w:r w:rsidR="004D4D0E" w:rsidRPr="004D6888">
        <w:rPr>
          <w:rFonts w:ascii="Oracle Sans" w:hAnsi="Oracle Sans"/>
        </w:rPr>
        <w:t>li operatori della logistica devono affrontare varie difficoltà</w:t>
      </w:r>
      <w:r w:rsidRPr="004D6888">
        <w:rPr>
          <w:rFonts w:ascii="Oracle Sans" w:hAnsi="Oracle Sans"/>
        </w:rPr>
        <w:t xml:space="preserve">, da un lato: </w:t>
      </w:r>
      <w:r w:rsidR="004D4D0E" w:rsidRPr="004D6888">
        <w:rPr>
          <w:rFonts w:ascii="Oracle Sans" w:hAnsi="Oracle Sans"/>
        </w:rPr>
        <w:t>l’accumularsi di ritardi nelle consegne e spedizioni,</w:t>
      </w:r>
      <w:r w:rsidR="004D6888">
        <w:rPr>
          <w:rFonts w:ascii="Oracle Sans" w:hAnsi="Oracle Sans"/>
        </w:rPr>
        <w:t xml:space="preserve"> </w:t>
      </w:r>
      <w:r w:rsidR="004D4D0E" w:rsidRPr="004D6888">
        <w:rPr>
          <w:rFonts w:ascii="Oracle Sans" w:hAnsi="Oracle Sans"/>
        </w:rPr>
        <w:t>la variabilità dei costi, l’evoluzione delle normative commerciali.</w:t>
      </w:r>
      <w:r w:rsidR="00436D3A" w:rsidRPr="004D6888">
        <w:rPr>
          <w:rFonts w:ascii="Oracle Sans" w:hAnsi="Oracle Sans"/>
        </w:rPr>
        <w:t xml:space="preserve"> </w:t>
      </w:r>
      <w:r w:rsidRPr="004D6888">
        <w:rPr>
          <w:rFonts w:ascii="Oracle Sans" w:hAnsi="Oracle Sans"/>
        </w:rPr>
        <w:t xml:space="preserve">Dall’altro, </w:t>
      </w:r>
      <w:r w:rsidR="00436D3A" w:rsidRPr="004D6888">
        <w:rPr>
          <w:rFonts w:ascii="Oracle Sans" w:hAnsi="Oracle Sans"/>
        </w:rPr>
        <w:t xml:space="preserve">molti </w:t>
      </w:r>
      <w:r w:rsidR="004D4D0E" w:rsidRPr="004D6888">
        <w:rPr>
          <w:rFonts w:ascii="Oracle Sans" w:hAnsi="Oracle Sans"/>
        </w:rPr>
        <w:t>sono all'avanguardia negli sforzi per ridurre le emissioni di CO2 generate dal transito delle merci. Le organizzazioni che non dispongono di processi di logistica flessibili e reattivi spesso finiscono per scaricare le conseguenze di quei ritardi e costi sui loro clienti.</w:t>
      </w:r>
    </w:p>
    <w:p w14:paraId="34CA5ABC" w14:textId="3F54F120" w:rsidR="00DF1D98" w:rsidRPr="004D6888" w:rsidRDefault="00DF1D98" w:rsidP="004D6888">
      <w:pPr>
        <w:autoSpaceDE w:val="0"/>
        <w:autoSpaceDN w:val="0"/>
        <w:adjustRightInd w:val="0"/>
        <w:jc w:val="both"/>
        <w:rPr>
          <w:rFonts w:ascii="Oracle Sans" w:hAnsi="Oracle Sans" w:cs="Arial"/>
          <w:sz w:val="22"/>
        </w:rPr>
      </w:pPr>
    </w:p>
    <w:p w14:paraId="541047AA" w14:textId="1F843A26" w:rsidR="00DF1D98" w:rsidRPr="004D6888" w:rsidRDefault="00D904DC" w:rsidP="004D6888">
      <w:pPr>
        <w:pStyle w:val="P68B1DB1-NormalWeb5"/>
        <w:shd w:val="clear" w:color="auto" w:fill="FFFFFF"/>
        <w:spacing w:before="0" w:beforeAutospacing="0" w:after="0" w:afterAutospacing="0"/>
        <w:jc w:val="both"/>
        <w:rPr>
          <w:rFonts w:ascii="Oracle Sans" w:hAnsi="Oracle Sans"/>
        </w:rPr>
      </w:pPr>
      <w:r w:rsidRPr="004D6888">
        <w:rPr>
          <w:rFonts w:ascii="Oracle Sans" w:hAnsi="Oracle Sans"/>
        </w:rPr>
        <w:t>"</w:t>
      </w:r>
      <w:r w:rsidRPr="004D6888">
        <w:rPr>
          <w:rFonts w:ascii="Oracle Sans" w:hAnsi="Oracle Sans"/>
          <w:i/>
          <w:iCs/>
          <w:color w:val="000000" w:themeColor="text1"/>
        </w:rPr>
        <w:t>Gli ultimi anni hanno messo a</w:t>
      </w:r>
      <w:r w:rsidR="00436D3A" w:rsidRPr="004D6888">
        <w:rPr>
          <w:rFonts w:ascii="Oracle Sans" w:hAnsi="Oracle Sans"/>
          <w:i/>
          <w:iCs/>
          <w:color w:val="000000" w:themeColor="text1"/>
        </w:rPr>
        <w:t xml:space="preserve"> dura</w:t>
      </w:r>
      <w:r w:rsidRPr="004D6888">
        <w:rPr>
          <w:rFonts w:ascii="Oracle Sans" w:hAnsi="Oracle Sans"/>
          <w:i/>
          <w:iCs/>
          <w:color w:val="000000" w:themeColor="text1"/>
        </w:rPr>
        <w:t xml:space="preserve"> prova la flessibilità delle operazioni di logistica a livello globale e molte organizzazioni hanno avuto difficoltà a stare al passo con il mercato in evoluzione</w:t>
      </w:r>
      <w:r w:rsidRPr="004D6888">
        <w:rPr>
          <w:rFonts w:ascii="Oracle Sans" w:hAnsi="Oracle Sans"/>
          <w:color w:val="000000" w:themeColor="text1"/>
        </w:rPr>
        <w:t>"</w:t>
      </w:r>
      <w:r w:rsidRPr="004D6888">
        <w:rPr>
          <w:rFonts w:ascii="Oracle Sans" w:hAnsi="Oracle Sans"/>
        </w:rPr>
        <w:t xml:space="preserve">, ha dichiarato </w:t>
      </w:r>
      <w:r w:rsidRPr="004D6888">
        <w:rPr>
          <w:rFonts w:ascii="Oracle Sans" w:hAnsi="Oracle Sans"/>
          <w:b/>
          <w:bCs/>
        </w:rPr>
        <w:t>Derek Gittoes, vice president of supply chain management product strategy di Oracle</w:t>
      </w:r>
      <w:r w:rsidRPr="004D6888">
        <w:rPr>
          <w:rFonts w:ascii="Oracle Sans" w:hAnsi="Oracle Sans"/>
        </w:rPr>
        <w:t>. "</w:t>
      </w:r>
      <w:r w:rsidRPr="004D6888">
        <w:rPr>
          <w:rFonts w:ascii="Oracle Sans" w:hAnsi="Oracle Sans"/>
          <w:i/>
          <w:iCs/>
        </w:rPr>
        <w:t>Grazie a</w:t>
      </w:r>
      <w:r w:rsidR="00436D3A" w:rsidRPr="004D6888">
        <w:rPr>
          <w:rFonts w:ascii="Oracle Sans" w:hAnsi="Oracle Sans"/>
          <w:i/>
          <w:iCs/>
        </w:rPr>
        <w:t>lle</w:t>
      </w:r>
      <w:r w:rsidR="00C655D8" w:rsidRPr="004D6888">
        <w:rPr>
          <w:rFonts w:ascii="Oracle Sans" w:hAnsi="Oracle Sans"/>
          <w:i/>
          <w:iCs/>
        </w:rPr>
        <w:t xml:space="preserve"> nuove</w:t>
      </w:r>
      <w:r w:rsidR="00436D3A" w:rsidRPr="004D6888">
        <w:rPr>
          <w:rFonts w:ascii="Oracle Sans" w:hAnsi="Oracle Sans"/>
          <w:i/>
          <w:iCs/>
        </w:rPr>
        <w:t xml:space="preserve"> funzionalità in</w:t>
      </w:r>
      <w:r w:rsidRPr="004D6888">
        <w:rPr>
          <w:rFonts w:ascii="Oracle Sans" w:hAnsi="Oracle Sans"/>
          <w:i/>
          <w:iCs/>
        </w:rPr>
        <w:t xml:space="preserve"> Oracle Transportation Management e Oracle Global Trade Management, le organizzazioni possono</w:t>
      </w:r>
      <w:r w:rsidR="00436D3A" w:rsidRPr="004D6888">
        <w:rPr>
          <w:rFonts w:ascii="Oracle Sans" w:hAnsi="Oracle Sans"/>
          <w:i/>
          <w:iCs/>
        </w:rPr>
        <w:t xml:space="preserve"> ora</w:t>
      </w:r>
      <w:r w:rsidRPr="004D6888">
        <w:rPr>
          <w:rFonts w:ascii="Oracle Sans" w:hAnsi="Oracle Sans"/>
          <w:i/>
          <w:iCs/>
        </w:rPr>
        <w:t xml:space="preserve"> adattarsi rapidamente ai cambiamenti nella loro rete di supply chain e logistica. La piattaforma ad aggiornamento automatico di Oracle offre ai clienti l'accesso a un'innovazione continua, p</w:t>
      </w:r>
      <w:r w:rsidR="00436D3A" w:rsidRPr="004D6888">
        <w:rPr>
          <w:rFonts w:ascii="Oracle Sans" w:hAnsi="Oracle Sans"/>
          <w:i/>
          <w:iCs/>
        </w:rPr>
        <w:t>er</w:t>
      </w:r>
      <w:r w:rsidRPr="004D6888">
        <w:rPr>
          <w:rFonts w:ascii="Oracle Sans" w:hAnsi="Oracle Sans"/>
          <w:i/>
          <w:iCs/>
        </w:rPr>
        <w:t xml:space="preserve">ché </w:t>
      </w:r>
      <w:r w:rsidR="00436D3A" w:rsidRPr="004D6888">
        <w:rPr>
          <w:rFonts w:ascii="Oracle Sans" w:hAnsi="Oracle Sans"/>
          <w:i/>
          <w:iCs/>
        </w:rPr>
        <w:t xml:space="preserve">vengono aggiunte </w:t>
      </w:r>
      <w:r w:rsidRPr="004D6888">
        <w:rPr>
          <w:rFonts w:ascii="Oracle Sans" w:hAnsi="Oracle Sans"/>
          <w:i/>
          <w:iCs/>
        </w:rPr>
        <w:t xml:space="preserve">nuove funzionalità ogni 90 giorni, senza </w:t>
      </w:r>
      <w:r w:rsidR="004D4D0E" w:rsidRPr="004D6888">
        <w:rPr>
          <w:rFonts w:ascii="Oracle Sans" w:hAnsi="Oracle Sans"/>
          <w:i/>
          <w:iCs/>
        </w:rPr>
        <w:t>interruzioni nella disponibilità delle applicazioni</w:t>
      </w:r>
      <w:r w:rsidR="004D4D0E" w:rsidRPr="004D6888">
        <w:rPr>
          <w:rFonts w:ascii="Oracle Sans" w:hAnsi="Oracle Sans"/>
        </w:rPr>
        <w:t>”.</w:t>
      </w:r>
    </w:p>
    <w:p w14:paraId="5FD22846" w14:textId="77777777" w:rsidR="00DF1D98" w:rsidRPr="004D6888" w:rsidRDefault="00DF1D98" w:rsidP="004D6888">
      <w:pPr>
        <w:autoSpaceDE w:val="0"/>
        <w:autoSpaceDN w:val="0"/>
        <w:adjustRightInd w:val="0"/>
        <w:jc w:val="both"/>
        <w:rPr>
          <w:rFonts w:ascii="Oracle Sans" w:eastAsia="Times New Roman" w:hAnsi="Oracle Sans" w:cs="Arial"/>
          <w:color w:val="000000"/>
          <w:sz w:val="22"/>
        </w:rPr>
      </w:pPr>
    </w:p>
    <w:p w14:paraId="36ED0B17" w14:textId="66A96BB9" w:rsidR="00DF1D98" w:rsidRPr="004D6888" w:rsidRDefault="00D904DC" w:rsidP="004D6888">
      <w:pPr>
        <w:pStyle w:val="P68B1DB1-Normal4"/>
        <w:jc w:val="both"/>
        <w:rPr>
          <w:rFonts w:ascii="Oracle Sans" w:hAnsi="Oracle Sans"/>
          <w:b/>
          <w:bCs/>
        </w:rPr>
      </w:pPr>
      <w:r w:rsidRPr="004D6888">
        <w:rPr>
          <w:rFonts w:ascii="Oracle Sans" w:hAnsi="Oracle Sans"/>
        </w:rPr>
        <w:t xml:space="preserve">Fra le nuove funzionalità di </w:t>
      </w:r>
      <w:r w:rsidRPr="004D6888">
        <w:rPr>
          <w:rFonts w:ascii="Oracle Sans" w:hAnsi="Oracle Sans"/>
          <w:b/>
          <w:bCs/>
        </w:rPr>
        <w:t>Oracle Transportation Management</w:t>
      </w:r>
      <w:r w:rsidRPr="004D6888">
        <w:rPr>
          <w:rFonts w:ascii="Oracle Sans" w:hAnsi="Oracle Sans"/>
        </w:rPr>
        <w:t xml:space="preserve"> e </w:t>
      </w:r>
      <w:r w:rsidRPr="004D6888">
        <w:rPr>
          <w:rFonts w:ascii="Oracle Sans" w:hAnsi="Oracle Sans"/>
          <w:b/>
          <w:bCs/>
        </w:rPr>
        <w:t>Oracle Global Trade Management</w:t>
      </w:r>
      <w:r w:rsidR="00C655D8" w:rsidRPr="004D6888">
        <w:rPr>
          <w:rFonts w:ascii="Oracle Sans" w:hAnsi="Oracle Sans"/>
          <w:b/>
          <w:bCs/>
        </w:rPr>
        <w:t>:</w:t>
      </w:r>
    </w:p>
    <w:p w14:paraId="4DE3B7B2" w14:textId="77777777" w:rsidR="00DF1D98" w:rsidRPr="004D6888" w:rsidRDefault="00DF1D98" w:rsidP="004D6888">
      <w:pPr>
        <w:jc w:val="both"/>
        <w:rPr>
          <w:rFonts w:ascii="Oracle Sans" w:hAnsi="Oracle Sans" w:cs="Arial"/>
          <w:b/>
          <w:bCs/>
          <w:sz w:val="22"/>
        </w:rPr>
      </w:pPr>
    </w:p>
    <w:p w14:paraId="3521081D" w14:textId="336821DD" w:rsidR="00DF1D98" w:rsidRPr="004D6888" w:rsidRDefault="00D904DC" w:rsidP="004D6888">
      <w:pPr>
        <w:pStyle w:val="P68B1DB1-ListParagraph6"/>
        <w:numPr>
          <w:ilvl w:val="0"/>
          <w:numId w:val="7"/>
        </w:numPr>
        <w:jc w:val="both"/>
        <w:rPr>
          <w:rStyle w:val="Enfasigrassetto"/>
          <w:rFonts w:ascii="Oracle Sans" w:hAnsi="Oracle Sans" w:cs="Arial"/>
          <w:b w:val="0"/>
        </w:rPr>
      </w:pPr>
      <w:r w:rsidRPr="004D6888">
        <w:rPr>
          <w:rFonts w:ascii="Oracle Sans" w:eastAsia="Times New Roman" w:hAnsi="Oracle Sans" w:cs="Arial"/>
          <w:b/>
        </w:rPr>
        <w:t xml:space="preserve">Trade Agreement Qualification automatizzata: </w:t>
      </w:r>
      <w:r w:rsidRPr="004D6888">
        <w:rPr>
          <w:rFonts w:ascii="Oracle Sans" w:hAnsi="Oracle Sans" w:cs="Arial"/>
        </w:rPr>
        <w:t xml:space="preserve">aiuta i clienti a convalidare il certificato di origine, ridurre le tariffe ed entrare in nuovi mercati. </w:t>
      </w:r>
      <w:r w:rsidR="004D4D0E" w:rsidRPr="004D6888">
        <w:rPr>
          <w:rFonts w:ascii="Oracle Sans" w:hAnsi="Oracle Sans" w:cs="Arial"/>
        </w:rPr>
        <w:t xml:space="preserve">Permettendo di visualizzare in modo approfondito la </w:t>
      </w:r>
      <w:r w:rsidRPr="004D6888">
        <w:rPr>
          <w:rFonts w:ascii="Oracle Sans" w:hAnsi="Oracle Sans" w:cs="Arial"/>
        </w:rPr>
        <w:t>distinta base, Trade Agreement Qualification consente ai clienti di rispettare le normative sul lavoro e di dimostrare dove la merce è stata prodotta tramite registri verificabili.</w:t>
      </w:r>
    </w:p>
    <w:p w14:paraId="0D86FBEA" w14:textId="5C73EF1F" w:rsidR="00DF1D98" w:rsidRPr="004D6888" w:rsidRDefault="00D904DC" w:rsidP="004D6888">
      <w:pPr>
        <w:pStyle w:val="Paragrafoelenco"/>
        <w:numPr>
          <w:ilvl w:val="0"/>
          <w:numId w:val="7"/>
        </w:numPr>
        <w:jc w:val="both"/>
        <w:rPr>
          <w:rFonts w:ascii="Oracle Sans" w:hAnsi="Oracle Sans" w:cs="Arial"/>
          <w:sz w:val="22"/>
        </w:rPr>
      </w:pPr>
      <w:r w:rsidRPr="004D6888">
        <w:rPr>
          <w:rStyle w:val="Enfasigrassetto"/>
          <w:rFonts w:ascii="Oracle Sans" w:hAnsi="Oracle Sans" w:cs="Arial"/>
          <w:sz w:val="22"/>
        </w:rPr>
        <w:t xml:space="preserve">Nuove funzionalità di Oracle Logistics Digital Assistant: </w:t>
      </w:r>
      <w:r w:rsidRPr="004D6888">
        <w:rPr>
          <w:rStyle w:val="Enfasigrassetto"/>
          <w:rFonts w:ascii="Oracle Sans" w:hAnsi="Oracle Sans" w:cs="Arial"/>
          <w:b w:val="0"/>
          <w:sz w:val="22"/>
        </w:rPr>
        <w:t xml:space="preserve">consentono </w:t>
      </w:r>
      <w:r w:rsidRPr="004D6888">
        <w:rPr>
          <w:rFonts w:ascii="Oracle Sans" w:hAnsi="Oracle Sans" w:cs="Arial"/>
          <w:sz w:val="22"/>
        </w:rPr>
        <w:t xml:space="preserve">agli utenti di ottenere </w:t>
      </w:r>
      <w:r w:rsidRPr="004D6888">
        <w:rPr>
          <w:rFonts w:ascii="Oracle Sans" w:hAnsi="Oracle Sans" w:cs="Arial"/>
          <w:i/>
          <w:iCs/>
          <w:sz w:val="22"/>
        </w:rPr>
        <w:t xml:space="preserve">insight </w:t>
      </w:r>
      <w:r w:rsidRPr="004D6888">
        <w:rPr>
          <w:rFonts w:ascii="Oracle Sans" w:hAnsi="Oracle Sans" w:cs="Arial"/>
          <w:sz w:val="22"/>
        </w:rPr>
        <w:t>sullo stato delle loro spedizioni con semplici comandi vocali. Grazie al Logistics Digital Assistant integrato, gli utenti possono trovare rapidamente le risposte alle loro domande.</w:t>
      </w:r>
    </w:p>
    <w:p w14:paraId="6F8BAFB5" w14:textId="074119B9" w:rsidR="00DF1D98" w:rsidRPr="004D6888" w:rsidRDefault="00D904DC" w:rsidP="004D6888">
      <w:pPr>
        <w:pStyle w:val="Paragrafoelenco"/>
        <w:numPr>
          <w:ilvl w:val="0"/>
          <w:numId w:val="7"/>
        </w:numPr>
        <w:jc w:val="both"/>
        <w:rPr>
          <w:rFonts w:ascii="Oracle Sans" w:hAnsi="Oracle Sans" w:cs="Arial"/>
          <w:sz w:val="22"/>
        </w:rPr>
      </w:pPr>
      <w:r w:rsidRPr="004D6888">
        <w:rPr>
          <w:rFonts w:ascii="Oracle Sans" w:hAnsi="Oracle Sans" w:cs="Arial"/>
          <w:b/>
          <w:sz w:val="22"/>
        </w:rPr>
        <w:t>Workbench migliorate:</w:t>
      </w:r>
      <w:r w:rsidRPr="004D6888">
        <w:rPr>
          <w:rFonts w:ascii="Oracle Sans" w:hAnsi="Oracle Sans" w:cs="Arial"/>
          <w:sz w:val="22"/>
        </w:rPr>
        <w:t xml:space="preserve"> </w:t>
      </w:r>
      <w:r w:rsidRPr="004D6888">
        <w:rPr>
          <w:rStyle w:val="Enfasigrassetto"/>
          <w:rFonts w:ascii="Oracle Sans" w:hAnsi="Oracle Sans" w:cs="Arial"/>
          <w:b w:val="0"/>
          <w:sz w:val="22"/>
        </w:rPr>
        <w:t>consentono</w:t>
      </w:r>
      <w:r w:rsidRPr="004D6888">
        <w:rPr>
          <w:rStyle w:val="Enfasigrassetto"/>
          <w:rFonts w:ascii="Oracle Sans" w:hAnsi="Oracle Sans" w:cs="Arial"/>
          <w:sz w:val="22"/>
        </w:rPr>
        <w:t xml:space="preserve"> </w:t>
      </w:r>
      <w:r w:rsidRPr="004D6888">
        <w:rPr>
          <w:rFonts w:ascii="Oracle Sans" w:hAnsi="Oracle Sans" w:cs="Arial"/>
          <w:sz w:val="22"/>
        </w:rPr>
        <w:t xml:space="preserve">agli utenti di unire dati da più origini </w:t>
      </w:r>
      <w:r w:rsidR="004D4D0E" w:rsidRPr="004D6888">
        <w:rPr>
          <w:rFonts w:ascii="Oracle Sans" w:hAnsi="Oracle Sans" w:cs="Arial"/>
          <w:sz w:val="22"/>
        </w:rPr>
        <w:t xml:space="preserve">in </w:t>
      </w:r>
      <w:r w:rsidRPr="004D6888">
        <w:rPr>
          <w:rFonts w:ascii="Oracle Sans" w:hAnsi="Oracle Sans" w:cs="Arial"/>
          <w:sz w:val="22"/>
        </w:rPr>
        <w:t>un'unica visualizzazione</w:t>
      </w:r>
      <w:r w:rsidR="004D4D0E" w:rsidRPr="004D6888">
        <w:rPr>
          <w:rFonts w:ascii="Oracle Sans" w:hAnsi="Oracle Sans" w:cs="Arial"/>
          <w:sz w:val="22"/>
        </w:rPr>
        <w:t>,</w:t>
      </w:r>
      <w:r w:rsidRPr="004D6888">
        <w:rPr>
          <w:rFonts w:ascii="Oracle Sans" w:hAnsi="Oracle Sans" w:cs="Arial"/>
          <w:sz w:val="22"/>
        </w:rPr>
        <w:t xml:space="preserve"> per ottimizzare le </w:t>
      </w:r>
      <w:r w:rsidRPr="004D6888">
        <w:rPr>
          <w:rFonts w:ascii="Oracle Sans" w:hAnsi="Oracle Sans" w:cs="Arial"/>
          <w:i/>
          <w:iCs/>
          <w:sz w:val="22"/>
        </w:rPr>
        <w:t>operations</w:t>
      </w:r>
      <w:r w:rsidRPr="004D6888">
        <w:rPr>
          <w:rFonts w:ascii="Oracle Sans" w:hAnsi="Oracle Sans" w:cs="Arial"/>
          <w:sz w:val="22"/>
        </w:rPr>
        <w:t xml:space="preserve"> e migliorare il processo decisionale. I nuovi modelli per la gestione dei conducenti</w:t>
      </w:r>
      <w:r w:rsidR="004D4D0E" w:rsidRPr="004D6888">
        <w:rPr>
          <w:rFonts w:ascii="Oracle Sans" w:hAnsi="Oracle Sans" w:cs="Arial"/>
          <w:sz w:val="22"/>
        </w:rPr>
        <w:t xml:space="preserve"> dei mezzi di trasporto</w:t>
      </w:r>
      <w:r w:rsidRPr="004D6888">
        <w:rPr>
          <w:rFonts w:ascii="Oracle Sans" w:hAnsi="Oracle Sans" w:cs="Arial"/>
          <w:sz w:val="22"/>
        </w:rPr>
        <w:t>, la programmazione delle banchine, le assegnazioni d</w:t>
      </w:r>
      <w:r w:rsidR="00C655D8" w:rsidRPr="004D6888">
        <w:rPr>
          <w:rFonts w:ascii="Oracle Sans" w:hAnsi="Oracle Sans" w:cs="Arial"/>
          <w:sz w:val="22"/>
        </w:rPr>
        <w:t>el</w:t>
      </w:r>
      <w:r w:rsidRPr="004D6888">
        <w:rPr>
          <w:rFonts w:ascii="Oracle Sans" w:hAnsi="Oracle Sans" w:cs="Arial"/>
          <w:sz w:val="22"/>
        </w:rPr>
        <w:t xml:space="preserve"> lavoro, le spedizioni, le offerte a pronti e lo </w:t>
      </w:r>
      <w:r w:rsidRPr="004D6888">
        <w:rPr>
          <w:rFonts w:ascii="Oracle Sans" w:hAnsi="Oracle Sans" w:cs="Arial"/>
          <w:i/>
          <w:iCs/>
          <w:sz w:val="22"/>
        </w:rPr>
        <w:t>screening</w:t>
      </w:r>
      <w:r w:rsidRPr="004D6888">
        <w:rPr>
          <w:rFonts w:ascii="Oracle Sans" w:hAnsi="Oracle Sans" w:cs="Arial"/>
          <w:sz w:val="22"/>
        </w:rPr>
        <w:t xml:space="preserve"> delle parti sottoposte a limitazioni</w:t>
      </w:r>
      <w:r w:rsidR="004D4D0E" w:rsidRPr="004D6888">
        <w:rPr>
          <w:rFonts w:ascii="Oracle Sans" w:hAnsi="Oracle Sans" w:cs="Arial"/>
          <w:sz w:val="22"/>
        </w:rPr>
        <w:t xml:space="preserve"> </w:t>
      </w:r>
      <w:r w:rsidRPr="004D6888">
        <w:rPr>
          <w:rFonts w:ascii="Oracle Sans" w:hAnsi="Oracle Sans" w:cs="Arial"/>
          <w:sz w:val="22"/>
        </w:rPr>
        <w:t>consentono agli utenti di gestire processi logistici specifici in modo più efficiente.</w:t>
      </w:r>
    </w:p>
    <w:p w14:paraId="057AFB7B" w14:textId="1431FAEC" w:rsidR="00DF1D98" w:rsidRPr="004D6888" w:rsidRDefault="00D904DC" w:rsidP="004D6888">
      <w:pPr>
        <w:pStyle w:val="P68B1DB1-ListParagraph6"/>
        <w:numPr>
          <w:ilvl w:val="0"/>
          <w:numId w:val="7"/>
        </w:numPr>
        <w:jc w:val="both"/>
        <w:rPr>
          <w:rFonts w:ascii="Oracle Sans" w:hAnsi="Oracle Sans" w:cs="Arial"/>
        </w:rPr>
      </w:pPr>
      <w:r w:rsidRPr="004D6888">
        <w:rPr>
          <w:rFonts w:ascii="Oracle Sans" w:eastAsia="Times New Roman" w:hAnsi="Oracle Sans" w:cs="Arial"/>
          <w:b/>
        </w:rPr>
        <w:t xml:space="preserve">Nuova applicazione Oracle Transportation Management Mobile: </w:t>
      </w:r>
      <w:r w:rsidRPr="004D6888">
        <w:rPr>
          <w:rFonts w:ascii="Oracle Sans" w:hAnsi="Oracle Sans" w:cs="Arial"/>
          <w:color w:val="000000"/>
        </w:rPr>
        <w:t>consente ai clienti di inviare incarichi ai conducenti, prendere nota degli eventi di arrivo e partenza</w:t>
      </w:r>
      <w:r w:rsidR="004D4D0E" w:rsidRPr="004D6888">
        <w:rPr>
          <w:rFonts w:ascii="Oracle Sans" w:hAnsi="Oracle Sans" w:cs="Arial"/>
          <w:color w:val="000000"/>
        </w:rPr>
        <w:t xml:space="preserve"> </w:t>
      </w:r>
      <w:r w:rsidRPr="004D6888">
        <w:rPr>
          <w:rFonts w:ascii="Oracle Sans" w:hAnsi="Oracle Sans" w:cs="Arial"/>
          <w:color w:val="000000"/>
        </w:rPr>
        <w:t xml:space="preserve">e comunicare informazioni </w:t>
      </w:r>
      <w:r w:rsidRPr="004D6888">
        <w:rPr>
          <w:rFonts w:ascii="Oracle Sans" w:hAnsi="Oracle Sans" w:cs="Arial"/>
          <w:color w:val="000000"/>
        </w:rPr>
        <w:lastRenderedPageBreak/>
        <w:t>sullo stato di transito e sulla posizione. L'applicazione</w:t>
      </w:r>
      <w:r w:rsidR="004D4D0E" w:rsidRPr="004D6888">
        <w:rPr>
          <w:rFonts w:ascii="Oracle Sans" w:hAnsi="Oracle Sans" w:cs="Arial"/>
          <w:color w:val="000000"/>
        </w:rPr>
        <w:t>,</w:t>
      </w:r>
      <w:r w:rsidRPr="004D6888">
        <w:rPr>
          <w:rFonts w:ascii="Oracle Sans" w:hAnsi="Oracle Sans" w:cs="Arial"/>
          <w:color w:val="000000"/>
        </w:rPr>
        <w:t xml:space="preserve"> altamente configurabile e intuitiva</w:t>
      </w:r>
      <w:r w:rsidR="004D4D0E" w:rsidRPr="004D6888">
        <w:rPr>
          <w:rFonts w:ascii="Oracle Sans" w:hAnsi="Oracle Sans" w:cs="Arial"/>
          <w:color w:val="000000"/>
        </w:rPr>
        <w:t xml:space="preserve">, </w:t>
      </w:r>
      <w:r w:rsidRPr="004D6888">
        <w:rPr>
          <w:rFonts w:ascii="Oracle Sans" w:hAnsi="Oracle Sans" w:cs="Arial"/>
          <w:color w:val="000000"/>
        </w:rPr>
        <w:t>sincronizza i dati offline e consente agli utenti di eseguire le attività in modo efficiente, indipendentemente da dove si trovino.</w:t>
      </w:r>
    </w:p>
    <w:p w14:paraId="27CFFFF6" w14:textId="5C932652" w:rsidR="00DF1D98" w:rsidRPr="004D6888" w:rsidRDefault="00D904DC" w:rsidP="004D6888">
      <w:pPr>
        <w:pStyle w:val="P68B1DB1-ListParagraph7"/>
        <w:numPr>
          <w:ilvl w:val="0"/>
          <w:numId w:val="7"/>
        </w:numPr>
        <w:jc w:val="both"/>
        <w:rPr>
          <w:rFonts w:ascii="Oracle Sans" w:hAnsi="Oracle Sans"/>
        </w:rPr>
      </w:pPr>
      <w:r w:rsidRPr="004D6888">
        <w:rPr>
          <w:rFonts w:ascii="Oracle Sans" w:hAnsi="Oracle Sans"/>
          <w:b/>
        </w:rPr>
        <w:t xml:space="preserve">Previsioni ETA </w:t>
      </w:r>
      <w:r w:rsidR="00F063D3" w:rsidRPr="004D6888">
        <w:rPr>
          <w:rFonts w:ascii="Oracle Sans" w:hAnsi="Oracle Sans"/>
          <w:b/>
        </w:rPr>
        <w:t xml:space="preserve">(Expected Time of Arrival, tempo previsto di arrivo) </w:t>
      </w:r>
      <w:r w:rsidRPr="004D6888">
        <w:rPr>
          <w:rFonts w:ascii="Oracle Sans" w:hAnsi="Oracle Sans"/>
          <w:b/>
        </w:rPr>
        <w:t xml:space="preserve">con Machine Learning: </w:t>
      </w:r>
      <w:r w:rsidRPr="004D6888">
        <w:rPr>
          <w:rFonts w:ascii="Oracle Sans" w:hAnsi="Oracle Sans"/>
        </w:rPr>
        <w:t>forniscono</w:t>
      </w:r>
      <w:r w:rsidRPr="004D6888">
        <w:rPr>
          <w:rFonts w:ascii="Oracle Sans" w:hAnsi="Oracle Sans"/>
          <w:b/>
        </w:rPr>
        <w:t xml:space="preserve"> </w:t>
      </w:r>
      <w:r w:rsidRPr="004D6888">
        <w:rPr>
          <w:rFonts w:ascii="Oracle Sans" w:hAnsi="Oracle Sans"/>
        </w:rPr>
        <w:t>aggiornamenti e monitoraggio delle spedizioni in tempo reale per creare previsioni accurate sui tempi di arrivo in base alle operazioni di business specifiche del cliente. Grazie a previsioni ETA più accurate, i clienti possono intervenire rapidamente per re</w:t>
      </w:r>
      <w:r w:rsidR="00F063D3" w:rsidRPr="004D6888">
        <w:rPr>
          <w:rFonts w:ascii="Oracle Sans" w:hAnsi="Oracle Sans"/>
        </w:rPr>
        <w:t>-</w:t>
      </w:r>
      <w:r w:rsidRPr="004D6888">
        <w:rPr>
          <w:rFonts w:ascii="Oracle Sans" w:hAnsi="Oracle Sans"/>
        </w:rPr>
        <w:t>indirizzare le spedizioni in modo</w:t>
      </w:r>
      <w:r w:rsidR="004D4D0E" w:rsidRPr="004D6888">
        <w:rPr>
          <w:rFonts w:ascii="Oracle Sans" w:hAnsi="Oracle Sans"/>
        </w:rPr>
        <w:t xml:space="preserve"> da</w:t>
      </w:r>
      <w:r w:rsidRPr="004D6888">
        <w:rPr>
          <w:rFonts w:ascii="Oracle Sans" w:hAnsi="Oracle Sans"/>
        </w:rPr>
        <w:t xml:space="preserve"> migliorare l'efficienza operativa.</w:t>
      </w:r>
    </w:p>
    <w:p w14:paraId="50F4AAC3" w14:textId="5547D833" w:rsidR="00DE5448" w:rsidRPr="004D6888" w:rsidRDefault="00DE5448" w:rsidP="004D6888">
      <w:pPr>
        <w:pStyle w:val="P68B1DB1-ListParagraph7"/>
        <w:jc w:val="both"/>
        <w:rPr>
          <w:rFonts w:ascii="Oracle Sans" w:hAnsi="Oracle Sans"/>
        </w:rPr>
      </w:pPr>
    </w:p>
    <w:p w14:paraId="7289271C" w14:textId="3FD4AA39" w:rsidR="0022286A" w:rsidRPr="004D6888" w:rsidRDefault="0022286A" w:rsidP="004D6888">
      <w:pPr>
        <w:pStyle w:val="P68B1DB1-ListParagraph7"/>
        <w:ind w:left="0"/>
        <w:jc w:val="both"/>
        <w:rPr>
          <w:rFonts w:ascii="Oracle Sans" w:hAnsi="Oracle Sans"/>
        </w:rPr>
      </w:pPr>
      <w:r w:rsidRPr="004D6888">
        <w:rPr>
          <w:rFonts w:ascii="Oracle Sans" w:hAnsi="Oracle Sans"/>
        </w:rPr>
        <w:t>“</w:t>
      </w:r>
      <w:r w:rsidRPr="004D6888">
        <w:rPr>
          <w:rFonts w:ascii="Oracle Sans" w:hAnsi="Oracle Sans"/>
          <w:i/>
          <w:iCs/>
        </w:rPr>
        <w:t xml:space="preserve">1-800 Flowers </w:t>
      </w:r>
      <w:r w:rsidRPr="004D6888">
        <w:rPr>
          <w:rFonts w:ascii="Oracle Sans" w:hAnsi="Oracle Sans"/>
        </w:rPr>
        <w:t xml:space="preserve">(NdR società USA di distribuzione floreale e di regalistica di alta gamma) </w:t>
      </w:r>
      <w:r w:rsidRPr="004D6888">
        <w:rPr>
          <w:rFonts w:ascii="Oracle Sans" w:hAnsi="Oracle Sans"/>
          <w:i/>
          <w:iCs/>
        </w:rPr>
        <w:t>ha una supply chain e una pianificazione dei trasporti molto complesse, che rispondono al nostro posizionamento e a una priorità strategica: offrire un’esperienza senza confronti ai nostri clienti, attraverso l’eccellenza operativa</w:t>
      </w:r>
      <w:r w:rsidRPr="004D6888">
        <w:rPr>
          <w:rFonts w:ascii="Oracle Sans" w:hAnsi="Oracle Sans"/>
        </w:rPr>
        <w:t xml:space="preserve">” ha commentato </w:t>
      </w:r>
      <w:r w:rsidRPr="004D6888">
        <w:rPr>
          <w:rFonts w:ascii="Oracle Sans" w:hAnsi="Oracle Sans"/>
          <w:b/>
          <w:bCs/>
        </w:rPr>
        <w:t>Don La France, vice president, enterprise logistics and supply chain solutions</w:t>
      </w:r>
      <w:r w:rsidRPr="004D6888">
        <w:rPr>
          <w:rFonts w:ascii="Oracle Sans" w:hAnsi="Oracle Sans"/>
        </w:rPr>
        <w:t xml:space="preserve"> di </w:t>
      </w:r>
      <w:r w:rsidRPr="004D6888">
        <w:rPr>
          <w:rFonts w:ascii="Oracle Sans" w:hAnsi="Oracle Sans"/>
          <w:b/>
          <w:bCs/>
        </w:rPr>
        <w:t>1-800-Flowers</w:t>
      </w:r>
      <w:r w:rsidRPr="004D6888">
        <w:rPr>
          <w:rFonts w:ascii="Oracle Sans" w:hAnsi="Oracle Sans"/>
        </w:rPr>
        <w:t>. “</w:t>
      </w:r>
      <w:r w:rsidRPr="004D6888">
        <w:rPr>
          <w:rFonts w:ascii="Oracle Sans" w:hAnsi="Oracle Sans"/>
          <w:i/>
          <w:iCs/>
        </w:rPr>
        <w:t>I nostri obiettivi erano la standardizzazione, la possibilità di scalare le funzionalità disponibili, la riduzione dei costi, la visibilità e la disponibilità di strumenti di reportistica.</w:t>
      </w:r>
      <w:r w:rsidR="006611E1">
        <w:rPr>
          <w:rFonts w:ascii="Oracle Sans" w:hAnsi="Oracle Sans"/>
          <w:i/>
          <w:iCs/>
        </w:rPr>
        <w:t xml:space="preserve"> </w:t>
      </w:r>
      <w:r w:rsidRPr="004D6888">
        <w:rPr>
          <w:rFonts w:ascii="Oracle Sans" w:hAnsi="Oracle Sans"/>
          <w:i/>
          <w:iCs/>
        </w:rPr>
        <w:t>Dopo alcune ricerche, abbiamo preso la decisione di adottare Oracle per la gestione dei trasporti e del magazzino. Abbiamo potuto implementare la soluzione OTM in 12 settimane, con la visibilità e la proattività necessarie ai nostri team per migliorare le prestazioni on-time. Siamo molto contenti, la bontà della nostra decisione è stata confermata più volte dai risultati avuti</w:t>
      </w:r>
      <w:r w:rsidRPr="004D6888">
        <w:rPr>
          <w:rFonts w:ascii="Oracle Sans" w:hAnsi="Oracle Sans"/>
        </w:rPr>
        <w:t>”.</w:t>
      </w:r>
    </w:p>
    <w:p w14:paraId="1CFC7FBE" w14:textId="459E71A3" w:rsidR="00DF1D98" w:rsidRPr="004D6888" w:rsidRDefault="00DF1D98" w:rsidP="004D6888">
      <w:pPr>
        <w:jc w:val="both"/>
        <w:rPr>
          <w:rFonts w:ascii="Oracle Sans" w:hAnsi="Oracle Sans" w:cs="Arial"/>
          <w:color w:val="000000" w:themeColor="text1"/>
          <w:sz w:val="22"/>
        </w:rPr>
      </w:pPr>
    </w:p>
    <w:p w14:paraId="6D1BB7BE" w14:textId="77777777" w:rsidR="002360C7" w:rsidRPr="004D6888" w:rsidRDefault="00D904DC" w:rsidP="004D6888">
      <w:pPr>
        <w:pStyle w:val="P68B1DB1-NormalWeb5"/>
        <w:shd w:val="clear" w:color="auto" w:fill="FFFFFF"/>
        <w:spacing w:before="0" w:beforeAutospacing="0" w:after="0" w:afterAutospacing="0"/>
        <w:jc w:val="both"/>
        <w:rPr>
          <w:rFonts w:ascii="Oracle Sans" w:hAnsi="Oracle Sans"/>
        </w:rPr>
      </w:pPr>
      <w:r w:rsidRPr="004D6888">
        <w:rPr>
          <w:rFonts w:ascii="Oracle Sans" w:hAnsi="Oracle Sans"/>
          <w:b/>
          <w:bCs/>
        </w:rPr>
        <w:t>Oracle Cloud SCM</w:t>
      </w:r>
      <w:r w:rsidRPr="004D6888">
        <w:rPr>
          <w:rFonts w:ascii="Oracle Sans" w:hAnsi="Oracle Sans"/>
        </w:rPr>
        <w:t xml:space="preserve"> aiuta le organizzazioni a connettere perfettamente</w:t>
      </w:r>
      <w:r w:rsidR="004D4D0E" w:rsidRPr="004D6888">
        <w:rPr>
          <w:rFonts w:ascii="Oracle Sans" w:hAnsi="Oracle Sans"/>
        </w:rPr>
        <w:t xml:space="preserve"> tra loro </w:t>
      </w:r>
      <w:r w:rsidRPr="004D6888">
        <w:rPr>
          <w:rFonts w:ascii="Oracle Sans" w:hAnsi="Oracle Sans"/>
        </w:rPr>
        <w:t xml:space="preserve">i processi della </w:t>
      </w:r>
      <w:r w:rsidRPr="004D6888">
        <w:rPr>
          <w:rFonts w:ascii="Oracle Sans" w:hAnsi="Oracle Sans"/>
          <w:i/>
          <w:iCs/>
        </w:rPr>
        <w:t>supply chain</w:t>
      </w:r>
      <w:r w:rsidRPr="004D6888">
        <w:rPr>
          <w:rFonts w:ascii="Oracle Sans" w:hAnsi="Oracle Sans"/>
        </w:rPr>
        <w:t xml:space="preserve"> e a reagire velocemente </w:t>
      </w:r>
      <w:r w:rsidR="004D4D0E" w:rsidRPr="004D6888">
        <w:rPr>
          <w:rFonts w:ascii="Oracle Sans" w:hAnsi="Oracle Sans"/>
        </w:rPr>
        <w:t>alle evoluzioni</w:t>
      </w:r>
      <w:r w:rsidRPr="004D6888">
        <w:rPr>
          <w:rFonts w:ascii="Oracle Sans" w:hAnsi="Oracle Sans"/>
        </w:rPr>
        <w:t xml:space="preserve"> di domanda, offerta e mercato. Grazie a nuove funzioni che vengono aggiunte ogni trimestre, Oracle Cloud SCM aiuta i clienti a creare una rete di fornitura resiliente e </w:t>
      </w:r>
      <w:r w:rsidR="004D4D0E" w:rsidRPr="004D6888">
        <w:rPr>
          <w:rFonts w:ascii="Oracle Sans" w:hAnsi="Oracle Sans"/>
        </w:rPr>
        <w:t xml:space="preserve">a implementare </w:t>
      </w:r>
      <w:r w:rsidRPr="004D6888">
        <w:rPr>
          <w:rFonts w:ascii="Oracle Sans" w:hAnsi="Oracle Sans"/>
        </w:rPr>
        <w:t xml:space="preserve">processi che rispondono rapidamente ai cambiamenti. </w:t>
      </w:r>
    </w:p>
    <w:p w14:paraId="4A75ECC4" w14:textId="77777777" w:rsidR="002360C7" w:rsidRPr="004D6888" w:rsidRDefault="002360C7" w:rsidP="004D6888">
      <w:pPr>
        <w:pStyle w:val="P68B1DB1-NormalWeb5"/>
        <w:shd w:val="clear" w:color="auto" w:fill="FFFFFF"/>
        <w:spacing w:before="0" w:beforeAutospacing="0" w:after="0" w:afterAutospacing="0"/>
        <w:jc w:val="both"/>
        <w:rPr>
          <w:rFonts w:ascii="Oracle Sans" w:hAnsi="Oracle Sans"/>
        </w:rPr>
      </w:pPr>
    </w:p>
    <w:p w14:paraId="2586697F" w14:textId="5B64F0C7" w:rsidR="00DF1D98" w:rsidRPr="00D904DC" w:rsidRDefault="00D904DC" w:rsidP="004D6888">
      <w:pPr>
        <w:pStyle w:val="P68B1DB1-NormalWeb5"/>
        <w:shd w:val="clear" w:color="auto" w:fill="FFFFFF"/>
        <w:spacing w:before="0" w:beforeAutospacing="0" w:after="0" w:afterAutospacing="0"/>
        <w:jc w:val="both"/>
        <w:rPr>
          <w:rFonts w:ascii="Oracle Sans" w:hAnsi="Oracle Sans"/>
          <w:color w:val="161513"/>
        </w:rPr>
      </w:pPr>
      <w:r w:rsidRPr="004D6888">
        <w:rPr>
          <w:rFonts w:ascii="Oracle Sans" w:hAnsi="Oracle Sans"/>
          <w:color w:val="161513"/>
        </w:rPr>
        <w:t xml:space="preserve">Per ulteriori informazioni sulle applicazioni Oracle Cloud SCM, visita il sito Web </w:t>
      </w:r>
      <w:hyperlink r:id="rId10" w:history="1">
        <w:r w:rsidRPr="004D6888">
          <w:rPr>
            <w:rStyle w:val="Collegamentoipertestuale"/>
            <w:rFonts w:ascii="Oracle Sans" w:hAnsi="Oracle Sans"/>
          </w:rPr>
          <w:t>Oracle.com/scm</w:t>
        </w:r>
      </w:hyperlink>
      <w:r w:rsidRPr="004D6888">
        <w:rPr>
          <w:rFonts w:ascii="Oracle Sans" w:hAnsi="Oracle Sans"/>
          <w:color w:val="161513"/>
        </w:rPr>
        <w:t>.</w:t>
      </w:r>
      <w:r w:rsidRPr="00D904DC">
        <w:rPr>
          <w:rFonts w:ascii="Oracle Sans" w:hAnsi="Oracle Sans"/>
          <w:color w:val="161513"/>
        </w:rPr>
        <w:t xml:space="preserve"> </w:t>
      </w:r>
    </w:p>
    <w:p w14:paraId="701B0E5C" w14:textId="54DA3B71" w:rsidR="00DF1D98" w:rsidRPr="00D904DC" w:rsidRDefault="00DF1D98">
      <w:pPr>
        <w:pStyle w:val="NormaleWeb"/>
        <w:shd w:val="clear" w:color="auto" w:fill="FFFFFF"/>
        <w:spacing w:before="0" w:beforeAutospacing="0" w:after="0" w:afterAutospacing="0"/>
        <w:rPr>
          <w:rFonts w:ascii="Oracle Sans" w:eastAsiaTheme="minorHAnsi" w:hAnsi="Oracle Sans" w:cs="Arial"/>
          <w:color w:val="161513"/>
          <w:sz w:val="22"/>
        </w:rPr>
      </w:pPr>
    </w:p>
    <w:p w14:paraId="53274095" w14:textId="13384527" w:rsidR="00D904DC" w:rsidRPr="00D904DC" w:rsidRDefault="00D904DC" w:rsidP="00D904DC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Oracle Sans" w:eastAsiaTheme="minorHAnsi" w:hAnsi="Oracle Sans" w:cs="Arial"/>
          <w:color w:val="161513"/>
          <w:sz w:val="22"/>
        </w:rPr>
      </w:pPr>
      <w:r w:rsidRPr="00D904DC">
        <w:rPr>
          <w:rFonts w:ascii="Oracle Sans" w:eastAsiaTheme="minorHAnsi" w:hAnsi="Oracle Sans" w:cs="Arial"/>
          <w:color w:val="161513"/>
          <w:sz w:val="22"/>
        </w:rPr>
        <w:t>###</w:t>
      </w:r>
    </w:p>
    <w:p w14:paraId="32E6BE35" w14:textId="77777777" w:rsidR="00D904DC" w:rsidRPr="00D904DC" w:rsidRDefault="00D904DC">
      <w:pPr>
        <w:pStyle w:val="NormaleWeb"/>
        <w:shd w:val="clear" w:color="auto" w:fill="FFFFFF"/>
        <w:spacing w:before="0" w:beforeAutospacing="0" w:after="0" w:afterAutospacing="0"/>
        <w:rPr>
          <w:rFonts w:ascii="Oracle Sans" w:eastAsiaTheme="minorHAnsi" w:hAnsi="Oracle Sans" w:cs="Arial"/>
          <w:color w:val="161513"/>
          <w:sz w:val="22"/>
        </w:rPr>
      </w:pPr>
    </w:p>
    <w:p w14:paraId="688B4D50" w14:textId="51EC5A3C" w:rsidR="00DF1D98" w:rsidRPr="00D904DC" w:rsidRDefault="00D904DC">
      <w:pPr>
        <w:pStyle w:val="P68B1DB1-Normal1"/>
        <w:rPr>
          <w:rFonts w:ascii="Oracle Sans" w:hAnsi="Oracle Sans"/>
          <w:sz w:val="18"/>
          <w:szCs w:val="18"/>
        </w:rPr>
      </w:pPr>
      <w:r w:rsidRPr="00D904DC">
        <w:rPr>
          <w:rFonts w:ascii="Oracle Sans" w:hAnsi="Oracle Sans"/>
          <w:sz w:val="18"/>
          <w:szCs w:val="18"/>
        </w:rPr>
        <w:t>Informazioni su Oracle</w:t>
      </w:r>
    </w:p>
    <w:p w14:paraId="4321E196" w14:textId="77777777" w:rsidR="00DF1D98" w:rsidRPr="00D904DC" w:rsidRDefault="00D904DC">
      <w:pPr>
        <w:rPr>
          <w:rFonts w:ascii="Oracle Sans" w:hAnsi="Oracle Sans" w:cs="Arial"/>
          <w:sz w:val="18"/>
          <w:szCs w:val="18"/>
        </w:rPr>
      </w:pPr>
      <w:r w:rsidRPr="00D904DC">
        <w:rPr>
          <w:rFonts w:ascii="Oracle Sans" w:hAnsi="Oracle Sans" w:cs="Arial"/>
          <w:sz w:val="18"/>
          <w:szCs w:val="18"/>
        </w:rPr>
        <w:t xml:space="preserve">Oracle offre una suite di applicazioni integrate, oltre a un'infrastruttura sicura e autonoma in Oracle Cloud. Per maggiori informazioni su Oracle (NYSE: ORCL), visita il nostro sito </w:t>
      </w:r>
      <w:hyperlink r:id="rId11" w:history="1">
        <w:r w:rsidRPr="00D904DC">
          <w:rPr>
            <w:rStyle w:val="Collegamentoipertestuale"/>
            <w:rFonts w:ascii="Oracle Sans" w:hAnsi="Oracle Sans" w:cs="Arial"/>
            <w:sz w:val="18"/>
            <w:szCs w:val="18"/>
          </w:rPr>
          <w:t>www.oracle.com.</w:t>
        </w:r>
      </w:hyperlink>
    </w:p>
    <w:p w14:paraId="05D80413" w14:textId="77777777" w:rsidR="00DF1D98" w:rsidRPr="00D904DC" w:rsidRDefault="00DF1D98">
      <w:pPr>
        <w:rPr>
          <w:rFonts w:ascii="Oracle Sans" w:hAnsi="Oracle Sans" w:cs="Arial"/>
          <w:sz w:val="18"/>
          <w:szCs w:val="18"/>
          <w:highlight w:val="yellow"/>
        </w:rPr>
      </w:pPr>
    </w:p>
    <w:p w14:paraId="4B20F271" w14:textId="77777777" w:rsidR="00DF1D98" w:rsidRPr="00D904DC" w:rsidRDefault="00D904DC">
      <w:pPr>
        <w:pStyle w:val="P68B1DB1-Normal1"/>
        <w:outlineLvl w:val="0"/>
        <w:rPr>
          <w:rFonts w:ascii="Oracle Sans" w:hAnsi="Oracle Sans"/>
          <w:sz w:val="18"/>
          <w:szCs w:val="18"/>
        </w:rPr>
      </w:pPr>
      <w:r w:rsidRPr="00D904DC">
        <w:rPr>
          <w:rFonts w:ascii="Oracle Sans" w:hAnsi="Oracle Sans"/>
          <w:sz w:val="18"/>
          <w:szCs w:val="18"/>
        </w:rPr>
        <w:t>Marchi registrati</w:t>
      </w:r>
    </w:p>
    <w:p w14:paraId="3BF3F581" w14:textId="5538006C" w:rsidR="00DF1D98" w:rsidRPr="006611E1" w:rsidRDefault="00D904DC" w:rsidP="006611E1">
      <w:pPr>
        <w:pStyle w:val="P68B1DB1-Normal8"/>
        <w:rPr>
          <w:rFonts w:ascii="Oracle Sans" w:hAnsi="Oracle Sans"/>
          <w:sz w:val="18"/>
          <w:szCs w:val="18"/>
        </w:rPr>
      </w:pPr>
      <w:r w:rsidRPr="00D904DC">
        <w:rPr>
          <w:rFonts w:ascii="Oracle Sans" w:hAnsi="Oracle Sans"/>
          <w:sz w:val="18"/>
          <w:szCs w:val="18"/>
        </w:rPr>
        <w:t>Oracle e Java sono marchi registrati di Oracle Corporation.</w:t>
      </w:r>
    </w:p>
    <w:sectPr w:rsidR="00DF1D98" w:rsidRPr="006611E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racle Sans">
    <w:altName w:val="Calibri"/>
    <w:charset w:val="00"/>
    <w:family w:val="swiss"/>
    <w:pitch w:val="variable"/>
    <w:sig w:usb0="A10006EF" w:usb1="400060FB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6F4"/>
    <w:multiLevelType w:val="hybridMultilevel"/>
    <w:tmpl w:val="C8587500"/>
    <w:lvl w:ilvl="0" w:tplc="ED80D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1D102076"/>
    <w:multiLevelType w:val="hybridMultilevel"/>
    <w:tmpl w:val="1D1A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972E2"/>
    <w:multiLevelType w:val="hybridMultilevel"/>
    <w:tmpl w:val="45FC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B3B23"/>
    <w:multiLevelType w:val="multilevel"/>
    <w:tmpl w:val="EADC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75689"/>
    <w:multiLevelType w:val="hybridMultilevel"/>
    <w:tmpl w:val="2550FB48"/>
    <w:lvl w:ilvl="0" w:tplc="ED80D3C8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430D7C15"/>
    <w:multiLevelType w:val="hybridMultilevel"/>
    <w:tmpl w:val="08CE1080"/>
    <w:lvl w:ilvl="0" w:tplc="DFBE2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F65E3"/>
    <w:multiLevelType w:val="hybridMultilevel"/>
    <w:tmpl w:val="2A4ABD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222EB6"/>
    <w:multiLevelType w:val="hybridMultilevel"/>
    <w:tmpl w:val="750A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738072">
    <w:abstractNumId w:val="1"/>
  </w:num>
  <w:num w:numId="2" w16cid:durableId="943539838">
    <w:abstractNumId w:val="4"/>
  </w:num>
  <w:num w:numId="3" w16cid:durableId="1557667170">
    <w:abstractNumId w:val="0"/>
  </w:num>
  <w:num w:numId="4" w16cid:durableId="70472082">
    <w:abstractNumId w:val="2"/>
  </w:num>
  <w:num w:numId="5" w16cid:durableId="693188103">
    <w:abstractNumId w:val="3"/>
  </w:num>
  <w:num w:numId="6" w16cid:durableId="1757630560">
    <w:abstractNumId w:val="5"/>
  </w:num>
  <w:num w:numId="7" w16cid:durableId="457991484">
    <w:abstractNumId w:val="7"/>
  </w:num>
  <w:num w:numId="8" w16cid:durableId="335423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0B"/>
    <w:rsid w:val="000216DE"/>
    <w:rsid w:val="000217EE"/>
    <w:rsid w:val="00036311"/>
    <w:rsid w:val="00076C76"/>
    <w:rsid w:val="00084FAF"/>
    <w:rsid w:val="00090416"/>
    <w:rsid w:val="000A1414"/>
    <w:rsid w:val="000A32CB"/>
    <w:rsid w:val="000B21D1"/>
    <w:rsid w:val="000B5CA5"/>
    <w:rsid w:val="000B6DC8"/>
    <w:rsid w:val="000D3FF6"/>
    <w:rsid w:val="000D783D"/>
    <w:rsid w:val="000E19A9"/>
    <w:rsid w:val="000E66E4"/>
    <w:rsid w:val="000F3F16"/>
    <w:rsid w:val="001009F7"/>
    <w:rsid w:val="00105BF3"/>
    <w:rsid w:val="0010662E"/>
    <w:rsid w:val="00123AB7"/>
    <w:rsid w:val="00123F29"/>
    <w:rsid w:val="00126FB1"/>
    <w:rsid w:val="0014706C"/>
    <w:rsid w:val="00157529"/>
    <w:rsid w:val="001B77B0"/>
    <w:rsid w:val="001C2099"/>
    <w:rsid w:val="001C671C"/>
    <w:rsid w:val="001E4990"/>
    <w:rsid w:val="002114BD"/>
    <w:rsid w:val="002168B4"/>
    <w:rsid w:val="0022286A"/>
    <w:rsid w:val="00230D80"/>
    <w:rsid w:val="00233985"/>
    <w:rsid w:val="002360C7"/>
    <w:rsid w:val="00272EEB"/>
    <w:rsid w:val="002840C2"/>
    <w:rsid w:val="002925AA"/>
    <w:rsid w:val="00294CA7"/>
    <w:rsid w:val="002A5397"/>
    <w:rsid w:val="002A559F"/>
    <w:rsid w:val="002C5598"/>
    <w:rsid w:val="002D504A"/>
    <w:rsid w:val="002E6640"/>
    <w:rsid w:val="002F0EFB"/>
    <w:rsid w:val="002F6B9C"/>
    <w:rsid w:val="00313A0B"/>
    <w:rsid w:val="00326B76"/>
    <w:rsid w:val="00326D99"/>
    <w:rsid w:val="003512B6"/>
    <w:rsid w:val="00360DAC"/>
    <w:rsid w:val="00381B41"/>
    <w:rsid w:val="003862FF"/>
    <w:rsid w:val="00396B55"/>
    <w:rsid w:val="003B069B"/>
    <w:rsid w:val="003B0B46"/>
    <w:rsid w:val="003B150B"/>
    <w:rsid w:val="003B188C"/>
    <w:rsid w:val="003C47DF"/>
    <w:rsid w:val="003D6754"/>
    <w:rsid w:val="003E7F9C"/>
    <w:rsid w:val="003F1283"/>
    <w:rsid w:val="003F5EF1"/>
    <w:rsid w:val="003F6EE1"/>
    <w:rsid w:val="00400686"/>
    <w:rsid w:val="00401D9A"/>
    <w:rsid w:val="00423E98"/>
    <w:rsid w:val="00431174"/>
    <w:rsid w:val="00436A34"/>
    <w:rsid w:val="00436D3A"/>
    <w:rsid w:val="004532EB"/>
    <w:rsid w:val="00466E2E"/>
    <w:rsid w:val="00467D53"/>
    <w:rsid w:val="0047163D"/>
    <w:rsid w:val="004870D9"/>
    <w:rsid w:val="004A4F90"/>
    <w:rsid w:val="004A7176"/>
    <w:rsid w:val="004B632D"/>
    <w:rsid w:val="004C65DB"/>
    <w:rsid w:val="004D43C8"/>
    <w:rsid w:val="004D4D0E"/>
    <w:rsid w:val="004D6023"/>
    <w:rsid w:val="004D6888"/>
    <w:rsid w:val="004F5A5C"/>
    <w:rsid w:val="0051768D"/>
    <w:rsid w:val="00527540"/>
    <w:rsid w:val="00530C7F"/>
    <w:rsid w:val="0054121E"/>
    <w:rsid w:val="00542B2B"/>
    <w:rsid w:val="00555621"/>
    <w:rsid w:val="005556BF"/>
    <w:rsid w:val="00577327"/>
    <w:rsid w:val="00585345"/>
    <w:rsid w:val="0058744B"/>
    <w:rsid w:val="00596138"/>
    <w:rsid w:val="005A1339"/>
    <w:rsid w:val="005B4047"/>
    <w:rsid w:val="005C52CD"/>
    <w:rsid w:val="005C75BD"/>
    <w:rsid w:val="005D4372"/>
    <w:rsid w:val="0060257D"/>
    <w:rsid w:val="006342B3"/>
    <w:rsid w:val="00640B40"/>
    <w:rsid w:val="006611E1"/>
    <w:rsid w:val="006674EA"/>
    <w:rsid w:val="0068589D"/>
    <w:rsid w:val="00694D9E"/>
    <w:rsid w:val="006A3684"/>
    <w:rsid w:val="006B4948"/>
    <w:rsid w:val="006B7F0A"/>
    <w:rsid w:val="006C0089"/>
    <w:rsid w:val="006E1853"/>
    <w:rsid w:val="006E73F2"/>
    <w:rsid w:val="007024F1"/>
    <w:rsid w:val="00710890"/>
    <w:rsid w:val="00714E9A"/>
    <w:rsid w:val="007230A3"/>
    <w:rsid w:val="00734AF9"/>
    <w:rsid w:val="007445F4"/>
    <w:rsid w:val="00762CEA"/>
    <w:rsid w:val="00763195"/>
    <w:rsid w:val="0078554A"/>
    <w:rsid w:val="007956A4"/>
    <w:rsid w:val="007A17D9"/>
    <w:rsid w:val="007C500F"/>
    <w:rsid w:val="007D2051"/>
    <w:rsid w:val="007D254F"/>
    <w:rsid w:val="007E44E5"/>
    <w:rsid w:val="00800269"/>
    <w:rsid w:val="008029FC"/>
    <w:rsid w:val="008108EA"/>
    <w:rsid w:val="00841AC7"/>
    <w:rsid w:val="00850370"/>
    <w:rsid w:val="00863CF5"/>
    <w:rsid w:val="00870336"/>
    <w:rsid w:val="008A2501"/>
    <w:rsid w:val="008A7377"/>
    <w:rsid w:val="008B0669"/>
    <w:rsid w:val="008B5F80"/>
    <w:rsid w:val="008C5921"/>
    <w:rsid w:val="008D48A4"/>
    <w:rsid w:val="008D5E8A"/>
    <w:rsid w:val="008E229D"/>
    <w:rsid w:val="008E611B"/>
    <w:rsid w:val="00902495"/>
    <w:rsid w:val="00907AB8"/>
    <w:rsid w:val="00913CFD"/>
    <w:rsid w:val="00921E26"/>
    <w:rsid w:val="00924215"/>
    <w:rsid w:val="00925349"/>
    <w:rsid w:val="009279A0"/>
    <w:rsid w:val="0097402F"/>
    <w:rsid w:val="009A2401"/>
    <w:rsid w:val="009B578F"/>
    <w:rsid w:val="009E0E1B"/>
    <w:rsid w:val="009E6C99"/>
    <w:rsid w:val="009F121B"/>
    <w:rsid w:val="009F33A9"/>
    <w:rsid w:val="009F42D7"/>
    <w:rsid w:val="00A368FD"/>
    <w:rsid w:val="00A54DD4"/>
    <w:rsid w:val="00A616F4"/>
    <w:rsid w:val="00A6577B"/>
    <w:rsid w:val="00A6736E"/>
    <w:rsid w:val="00A67855"/>
    <w:rsid w:val="00AB61CA"/>
    <w:rsid w:val="00AD5214"/>
    <w:rsid w:val="00AD5F54"/>
    <w:rsid w:val="00AE3628"/>
    <w:rsid w:val="00AE5E29"/>
    <w:rsid w:val="00AF2606"/>
    <w:rsid w:val="00B009A9"/>
    <w:rsid w:val="00B043FC"/>
    <w:rsid w:val="00B06396"/>
    <w:rsid w:val="00B36870"/>
    <w:rsid w:val="00B43933"/>
    <w:rsid w:val="00B52CA4"/>
    <w:rsid w:val="00B53F7D"/>
    <w:rsid w:val="00B85733"/>
    <w:rsid w:val="00B87011"/>
    <w:rsid w:val="00B93BD9"/>
    <w:rsid w:val="00B94DD3"/>
    <w:rsid w:val="00BB098C"/>
    <w:rsid w:val="00BB25E9"/>
    <w:rsid w:val="00C221BA"/>
    <w:rsid w:val="00C26844"/>
    <w:rsid w:val="00C332B3"/>
    <w:rsid w:val="00C37C8A"/>
    <w:rsid w:val="00C41741"/>
    <w:rsid w:val="00C655D8"/>
    <w:rsid w:val="00C65C4B"/>
    <w:rsid w:val="00C664C0"/>
    <w:rsid w:val="00C84A7F"/>
    <w:rsid w:val="00C92965"/>
    <w:rsid w:val="00CA0440"/>
    <w:rsid w:val="00CA7EEF"/>
    <w:rsid w:val="00CB13B4"/>
    <w:rsid w:val="00CD4B66"/>
    <w:rsid w:val="00CF23E1"/>
    <w:rsid w:val="00CF4243"/>
    <w:rsid w:val="00CF6973"/>
    <w:rsid w:val="00D239EE"/>
    <w:rsid w:val="00D41ED2"/>
    <w:rsid w:val="00D72C03"/>
    <w:rsid w:val="00D904DC"/>
    <w:rsid w:val="00D91423"/>
    <w:rsid w:val="00DA420E"/>
    <w:rsid w:val="00DB0E36"/>
    <w:rsid w:val="00DC6FB0"/>
    <w:rsid w:val="00DE0CEA"/>
    <w:rsid w:val="00DE5448"/>
    <w:rsid w:val="00DE6179"/>
    <w:rsid w:val="00DF1D98"/>
    <w:rsid w:val="00DF64CB"/>
    <w:rsid w:val="00E15C82"/>
    <w:rsid w:val="00E164B9"/>
    <w:rsid w:val="00E35B3D"/>
    <w:rsid w:val="00E379F5"/>
    <w:rsid w:val="00E50966"/>
    <w:rsid w:val="00E6132B"/>
    <w:rsid w:val="00E73DF3"/>
    <w:rsid w:val="00E75E04"/>
    <w:rsid w:val="00E859C4"/>
    <w:rsid w:val="00E86C7A"/>
    <w:rsid w:val="00EA4E53"/>
    <w:rsid w:val="00EB7095"/>
    <w:rsid w:val="00ED51AF"/>
    <w:rsid w:val="00EE4BE5"/>
    <w:rsid w:val="00F063D3"/>
    <w:rsid w:val="00F412BA"/>
    <w:rsid w:val="00F428BE"/>
    <w:rsid w:val="00F47D8E"/>
    <w:rsid w:val="00F53732"/>
    <w:rsid w:val="00F6020A"/>
    <w:rsid w:val="00F62780"/>
    <w:rsid w:val="00F62DF4"/>
    <w:rsid w:val="00F63AF3"/>
    <w:rsid w:val="00F74E18"/>
    <w:rsid w:val="00F857EE"/>
    <w:rsid w:val="00FA2A9A"/>
    <w:rsid w:val="00FB4869"/>
    <w:rsid w:val="00FB7A60"/>
    <w:rsid w:val="00FC5149"/>
    <w:rsid w:val="00FE06E6"/>
    <w:rsid w:val="00FE1985"/>
    <w:rsid w:val="00FE5EDA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65B1"/>
  <w15:docId w15:val="{F62CB428-E9F3-1940-9125-F6B0DF04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F26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7A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5BF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5BF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rsid w:val="00105BF3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FF4592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459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4592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592"/>
    <w:rPr>
      <w:b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592"/>
    <w:rPr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592"/>
    <w:rPr>
      <w:rFonts w:ascii="Times New Roman" w:hAnsi="Times New Roman" w:cs="Times New Roman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592"/>
    <w:rPr>
      <w:rFonts w:ascii="Times New Roman" w:hAnsi="Times New Roman" w:cs="Times New Roman"/>
      <w:sz w:val="18"/>
    </w:rPr>
  </w:style>
  <w:style w:type="paragraph" w:styleId="Revisione">
    <w:name w:val="Revision"/>
    <w:hidden/>
    <w:uiPriority w:val="99"/>
    <w:semiHidden/>
    <w:rsid w:val="003F1283"/>
  </w:style>
  <w:style w:type="paragraph" w:styleId="NormaleWeb">
    <w:name w:val="Normal (Web)"/>
    <w:basedOn w:val="Normale"/>
    <w:uiPriority w:val="99"/>
    <w:unhideWhenUsed/>
    <w:rsid w:val="009E0E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E0E1B"/>
    <w:rPr>
      <w:b/>
    </w:rPr>
  </w:style>
  <w:style w:type="paragraph" w:styleId="Nessunaspaziatura">
    <w:name w:val="No Spacing"/>
    <w:link w:val="NessunaspaziaturaCarattere"/>
    <w:uiPriority w:val="1"/>
    <w:qFormat/>
    <w:rsid w:val="009253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925349"/>
    <w:rPr>
      <w:rFonts w:ascii="Calibri" w:eastAsia="Arial Unicode MS" w:hAnsi="Calibri" w:cs="Arial Unicode MS"/>
      <w:color w:val="000000"/>
      <w:sz w:val="22"/>
      <w:u w:color="000000"/>
      <w:bdr w:val="nil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296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0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2606"/>
    <w:rPr>
      <w:rFonts w:ascii="Times New Roman" w:eastAsia="Times New Roman" w:hAnsi="Times New Roman" w:cs="Times New Roman"/>
      <w:b/>
      <w:sz w:val="36"/>
    </w:rPr>
  </w:style>
  <w:style w:type="paragraph" w:customStyle="1" w:styleId="P68B1DB1-Normal1">
    <w:name w:val="P68B1DB1-Normal1"/>
    <w:basedOn w:val="Normale"/>
    <w:rPr>
      <w:rFonts w:ascii="Arial" w:hAnsi="Arial" w:cs="Arial"/>
      <w:b/>
      <w:sz w:val="22"/>
    </w:rPr>
  </w:style>
  <w:style w:type="paragraph" w:customStyle="1" w:styleId="P68B1DB1-Normal2">
    <w:name w:val="P68B1DB1-Normal2"/>
    <w:basedOn w:val="Normale"/>
    <w:rPr>
      <w:rFonts w:ascii="Arial" w:hAnsi="Arial" w:cs="Arial"/>
      <w:b/>
      <w:color w:val="000000"/>
    </w:rPr>
  </w:style>
  <w:style w:type="paragraph" w:customStyle="1" w:styleId="P68B1DB1-Normal3">
    <w:name w:val="P68B1DB1-Normal3"/>
    <w:basedOn w:val="Normale"/>
    <w:rPr>
      <w:rFonts w:ascii="Arial" w:hAnsi="Arial" w:cs="Arial"/>
      <w:i/>
      <w:sz w:val="22"/>
    </w:rPr>
  </w:style>
  <w:style w:type="paragraph" w:customStyle="1" w:styleId="P68B1DB1-Normal4">
    <w:name w:val="P68B1DB1-Normal4"/>
    <w:basedOn w:val="Normale"/>
    <w:rPr>
      <w:rFonts w:ascii="Arial" w:hAnsi="Arial" w:cs="Arial"/>
      <w:sz w:val="22"/>
    </w:rPr>
  </w:style>
  <w:style w:type="paragraph" w:customStyle="1" w:styleId="P68B1DB1-NormalWeb5">
    <w:name w:val="P68B1DB1-NormalWeb5"/>
    <w:basedOn w:val="NormaleWeb"/>
    <w:rPr>
      <w:rFonts w:ascii="Arial" w:hAnsi="Arial" w:cs="Arial"/>
      <w:sz w:val="22"/>
    </w:rPr>
  </w:style>
  <w:style w:type="paragraph" w:customStyle="1" w:styleId="P68B1DB1-ListParagraph6">
    <w:name w:val="P68B1DB1-ListParagraph6"/>
    <w:basedOn w:val="Paragrafoelenco"/>
    <w:rPr>
      <w:sz w:val="22"/>
    </w:rPr>
  </w:style>
  <w:style w:type="paragraph" w:customStyle="1" w:styleId="P68B1DB1-ListParagraph7">
    <w:name w:val="P68B1DB1-ListParagraph7"/>
    <w:basedOn w:val="Paragrafoelenco"/>
    <w:rPr>
      <w:rFonts w:ascii="Arial" w:eastAsia="Times New Roman" w:hAnsi="Arial" w:cs="Arial"/>
      <w:sz w:val="22"/>
    </w:rPr>
  </w:style>
  <w:style w:type="paragraph" w:customStyle="1" w:styleId="P68B1DB1-Normal8">
    <w:name w:val="P68B1DB1-Normal8"/>
    <w:basedOn w:val="Normale"/>
    <w:rPr>
      <w:rFonts w:ascii="Arial" w:hAnsi="Arial" w:cs="Arial"/>
      <w:color w:val="161513"/>
      <w:sz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cle.com/scm/logistics/transportation-manage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racle.com/sc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racle.com" TargetMode="External"/><Relationship Id="rId5" Type="http://schemas.openxmlformats.org/officeDocument/2006/relationships/hyperlink" Target="https://www.oracle.com/index.html" TargetMode="External"/><Relationship Id="rId10" Type="http://schemas.openxmlformats.org/officeDocument/2006/relationships/hyperlink" Target="https://www.oracle.com/scm/logist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acle.com/scm/logistics/global-trade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Rundle</dc:creator>
  <cp:lastModifiedBy>Ivonne Carpinelli</cp:lastModifiedBy>
  <cp:revision>7</cp:revision>
  <dcterms:created xsi:type="dcterms:W3CDTF">2023-01-24T10:39:00Z</dcterms:created>
  <dcterms:modified xsi:type="dcterms:W3CDTF">2023-01-24T11:43:00Z</dcterms:modified>
</cp:coreProperties>
</file>