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4FCF" w14:textId="5A827DD7" w:rsidR="005938B6" w:rsidRPr="003E72C2" w:rsidRDefault="00080BD2">
      <w:pPr>
        <w:pStyle w:val="P68B1DB1-Normal1"/>
        <w:jc w:val="center"/>
        <w:rPr>
          <w:rFonts w:ascii="Oracle Sans" w:hAnsi="Oracle Sans" w:cstheme="minorHAnsi"/>
          <w:lang w:val="it-IT"/>
        </w:rPr>
      </w:pPr>
      <w:r w:rsidRPr="003E72C2">
        <w:rPr>
          <w:rFonts w:ascii="Oracle Sans" w:hAnsi="Oracle Sans" w:cstheme="minorHAnsi"/>
          <w:lang w:val="it-IT"/>
        </w:rPr>
        <w:t xml:space="preserve">Le banche </w:t>
      </w:r>
      <w:r w:rsidR="00124FAA">
        <w:rPr>
          <w:rFonts w:ascii="Oracle Sans" w:hAnsi="Oracle Sans" w:cstheme="minorHAnsi"/>
          <w:lang w:val="it-IT"/>
        </w:rPr>
        <w:t>acceler</w:t>
      </w:r>
      <w:r w:rsidR="00124FAA" w:rsidRPr="003E72C2">
        <w:rPr>
          <w:rFonts w:ascii="Oracle Sans" w:hAnsi="Oracle Sans" w:cstheme="minorHAnsi"/>
          <w:lang w:val="it-IT"/>
        </w:rPr>
        <w:t xml:space="preserve">ano </w:t>
      </w:r>
      <w:r w:rsidRPr="003E72C2">
        <w:rPr>
          <w:rFonts w:ascii="Oracle Sans" w:hAnsi="Oracle Sans" w:cstheme="minorHAnsi"/>
          <w:lang w:val="it-IT"/>
        </w:rPr>
        <w:t xml:space="preserve">il passaggio al cloud con i nuovi Oracle Banking </w:t>
      </w:r>
      <w:r w:rsidRPr="003E72C2">
        <w:rPr>
          <w:rFonts w:ascii="Oracle Sans" w:eastAsia="Times New Roman" w:hAnsi="Oracle Sans" w:cs="Calibri"/>
          <w:color w:val="000000"/>
          <w:lang w:val="it-IT"/>
        </w:rPr>
        <w:t>Services</w:t>
      </w:r>
    </w:p>
    <w:p w14:paraId="409E9017" w14:textId="41E7B007" w:rsidR="005938B6" w:rsidRPr="003E72C2" w:rsidRDefault="00080BD2">
      <w:pPr>
        <w:pStyle w:val="P68B1DB1-Normal2"/>
        <w:rPr>
          <w:lang w:val="it-IT"/>
        </w:rPr>
      </w:pPr>
      <w:r w:rsidRPr="003E72C2">
        <w:rPr>
          <w:lang w:val="it-IT"/>
        </w:rPr>
        <w:t xml:space="preserve"> </w:t>
      </w:r>
    </w:p>
    <w:p w14:paraId="1E0A9EAB" w14:textId="22EA4B05" w:rsidR="005938B6" w:rsidRPr="000052D3" w:rsidRDefault="00080BD2">
      <w:pPr>
        <w:pStyle w:val="P68B1DB1-Normal3"/>
        <w:jc w:val="center"/>
        <w:rPr>
          <w:i/>
          <w:iCs/>
          <w:lang w:val="it-IT"/>
        </w:rPr>
      </w:pPr>
      <w:r w:rsidRPr="000052D3">
        <w:rPr>
          <w:i/>
          <w:iCs/>
          <w:lang w:val="it-IT"/>
        </w:rPr>
        <w:t xml:space="preserve">La suite </w:t>
      </w:r>
      <w:r w:rsidR="0044636A" w:rsidRPr="000052D3">
        <w:rPr>
          <w:i/>
          <w:iCs/>
          <w:lang w:val="it-IT"/>
        </w:rPr>
        <w:t xml:space="preserve">di applicazioni SaaS cloud-native di Oracle </w:t>
      </w:r>
      <w:r w:rsidRPr="000052D3">
        <w:rPr>
          <w:i/>
          <w:iCs/>
          <w:lang w:val="it-IT"/>
        </w:rPr>
        <w:t xml:space="preserve">fornisce </w:t>
      </w:r>
      <w:r w:rsidR="009F6805" w:rsidRPr="000052D3">
        <w:rPr>
          <w:i/>
          <w:iCs/>
          <w:lang w:val="it-IT"/>
        </w:rPr>
        <w:t xml:space="preserve">la flessibilità </w:t>
      </w:r>
      <w:r w:rsidRPr="000052D3">
        <w:rPr>
          <w:i/>
          <w:iCs/>
          <w:lang w:val="it-IT"/>
        </w:rPr>
        <w:t xml:space="preserve">necessaria </w:t>
      </w:r>
      <w:r w:rsidR="00172DCF">
        <w:rPr>
          <w:i/>
          <w:iCs/>
          <w:lang w:val="it-IT"/>
        </w:rPr>
        <w:br/>
      </w:r>
      <w:r w:rsidRPr="000052D3">
        <w:rPr>
          <w:i/>
          <w:iCs/>
          <w:lang w:val="it-IT"/>
        </w:rPr>
        <w:t>per modernizzare rapidamente le</w:t>
      </w:r>
      <w:r w:rsidR="00501E07" w:rsidRPr="000052D3">
        <w:rPr>
          <w:i/>
          <w:iCs/>
          <w:lang w:val="it-IT"/>
        </w:rPr>
        <w:t xml:space="preserve"> </w:t>
      </w:r>
      <w:r w:rsidRPr="000052D3">
        <w:rPr>
          <w:i/>
          <w:iCs/>
          <w:lang w:val="it-IT"/>
        </w:rPr>
        <w:t xml:space="preserve">applicazioni, </w:t>
      </w:r>
      <w:r w:rsidR="001E17F1">
        <w:rPr>
          <w:i/>
          <w:iCs/>
          <w:lang w:val="it-IT"/>
        </w:rPr>
        <w:br/>
      </w:r>
      <w:r w:rsidRPr="000052D3">
        <w:rPr>
          <w:i/>
          <w:iCs/>
          <w:lang w:val="it-IT"/>
        </w:rPr>
        <w:t>soddisfare le richieste dei clienti</w:t>
      </w:r>
      <w:r w:rsidR="00172DCF">
        <w:rPr>
          <w:i/>
          <w:iCs/>
          <w:lang w:val="it-IT"/>
        </w:rPr>
        <w:t xml:space="preserve"> sia di corporate che di retail banking</w:t>
      </w:r>
      <w:r w:rsidR="00172DCF">
        <w:rPr>
          <w:i/>
          <w:iCs/>
          <w:lang w:val="it-IT"/>
        </w:rPr>
        <w:br/>
      </w:r>
      <w:r w:rsidRPr="000052D3">
        <w:rPr>
          <w:i/>
          <w:iCs/>
          <w:lang w:val="it-IT"/>
        </w:rPr>
        <w:t>e sfruttare nuove opportunità</w:t>
      </w:r>
    </w:p>
    <w:p w14:paraId="1875D792" w14:textId="77777777" w:rsidR="005938B6" w:rsidRPr="003E72C2" w:rsidRDefault="005938B6">
      <w:pPr>
        <w:jc w:val="center"/>
        <w:rPr>
          <w:rFonts w:ascii="Oracle Sans" w:hAnsi="Oracle Sans" w:cstheme="minorHAnsi"/>
          <w:lang w:val="it-IT"/>
        </w:rPr>
      </w:pPr>
    </w:p>
    <w:p w14:paraId="3EB2AADD" w14:textId="515BF253" w:rsidR="00C56B41" w:rsidRDefault="00FB53D6" w:rsidP="001E17F1">
      <w:pPr>
        <w:jc w:val="both"/>
        <w:rPr>
          <w:rFonts w:ascii="Oracle Sans" w:hAnsi="Oracle Sans"/>
          <w:lang w:val="it-IT"/>
        </w:rPr>
      </w:pPr>
      <w:r w:rsidRPr="00FB53D6">
        <w:rPr>
          <w:rFonts w:ascii="Oracle Sans" w:hAnsi="Oracle Sans"/>
          <w:b/>
          <w:lang w:val="it-IT"/>
        </w:rPr>
        <w:t>A</w:t>
      </w:r>
      <w:r w:rsidR="00F5409B">
        <w:rPr>
          <w:rFonts w:ascii="Oracle Sans" w:hAnsi="Oracle Sans"/>
          <w:b/>
          <w:lang w:val="it-IT"/>
        </w:rPr>
        <w:t>ustin (USA)</w:t>
      </w:r>
      <w:r w:rsidRPr="00FB53D6">
        <w:rPr>
          <w:rFonts w:ascii="Oracle Sans" w:hAnsi="Oracle Sans"/>
          <w:b/>
          <w:lang w:val="it-IT"/>
        </w:rPr>
        <w:t xml:space="preserve">/Milano, </w:t>
      </w:r>
      <w:r w:rsidR="00F5409B">
        <w:rPr>
          <w:rFonts w:ascii="Oracle Sans" w:hAnsi="Oracle Sans"/>
          <w:b/>
          <w:lang w:val="it-IT"/>
        </w:rPr>
        <w:t>23</w:t>
      </w:r>
      <w:r w:rsidRPr="003E72C2">
        <w:rPr>
          <w:rFonts w:ascii="Oracle Sans" w:hAnsi="Oracle Sans"/>
          <w:b/>
          <w:lang w:val="it-IT"/>
        </w:rPr>
        <w:t xml:space="preserve"> febbraio 2023</w:t>
      </w:r>
      <w:r w:rsidRPr="003E72C2">
        <w:rPr>
          <w:rFonts w:ascii="Oracle Sans" w:hAnsi="Oracle Sans"/>
          <w:lang w:val="it-IT"/>
        </w:rPr>
        <w:t xml:space="preserve"> </w:t>
      </w:r>
      <w:r w:rsidR="00A50827">
        <w:rPr>
          <w:rFonts w:ascii="Oracle Sans" w:hAnsi="Oracle Sans"/>
          <w:lang w:val="it-IT"/>
        </w:rPr>
        <w:t>–</w:t>
      </w:r>
      <w:r w:rsidRPr="003E72C2">
        <w:rPr>
          <w:rFonts w:ascii="Oracle Sans" w:hAnsi="Oracle Sans"/>
          <w:lang w:val="it-IT"/>
        </w:rPr>
        <w:t xml:space="preserve"> </w:t>
      </w:r>
      <w:r w:rsidR="00F5409B">
        <w:rPr>
          <w:rFonts w:ascii="Oracle Sans" w:hAnsi="Oracle Sans"/>
          <w:lang w:val="it-IT"/>
        </w:rPr>
        <w:t xml:space="preserve"> In un mercato sempre più competitivo e con</w:t>
      </w:r>
      <w:r w:rsidR="00243B56">
        <w:rPr>
          <w:rFonts w:ascii="Oracle Sans" w:hAnsi="Oracle Sans"/>
          <w:lang w:val="it-IT"/>
        </w:rPr>
        <w:t xml:space="preserve"> crescenti</w:t>
      </w:r>
      <w:r w:rsidR="00F5409B">
        <w:rPr>
          <w:rFonts w:ascii="Oracle Sans" w:hAnsi="Oracle Sans"/>
          <w:lang w:val="it-IT"/>
        </w:rPr>
        <w:t xml:space="preserve"> </w:t>
      </w:r>
      <w:r w:rsidR="00243B56">
        <w:rPr>
          <w:rFonts w:ascii="Oracle Sans" w:hAnsi="Oracle Sans"/>
          <w:lang w:val="it-IT"/>
        </w:rPr>
        <w:t xml:space="preserve">aspettative </w:t>
      </w:r>
      <w:r w:rsidR="009D1049">
        <w:rPr>
          <w:rFonts w:ascii="Oracle Sans" w:hAnsi="Oracle Sans"/>
          <w:lang w:val="it-IT"/>
        </w:rPr>
        <w:t xml:space="preserve">da parte </w:t>
      </w:r>
      <w:r w:rsidR="00243B56">
        <w:rPr>
          <w:rFonts w:ascii="Oracle Sans" w:hAnsi="Oracle Sans"/>
          <w:lang w:val="it-IT"/>
        </w:rPr>
        <w:t>dei clienti, le</w:t>
      </w:r>
      <w:r w:rsidR="00B23C14">
        <w:rPr>
          <w:rFonts w:ascii="Oracle Sans" w:hAnsi="Oracle Sans"/>
          <w:lang w:val="it-IT"/>
        </w:rPr>
        <w:t xml:space="preserve"> banche devono </w:t>
      </w:r>
      <w:r w:rsidR="00B23C14" w:rsidRPr="003E72C2">
        <w:rPr>
          <w:rFonts w:ascii="Oracle Sans" w:hAnsi="Oracle Sans"/>
          <w:lang w:val="it-IT"/>
        </w:rPr>
        <w:t>adattarsi rapidamente</w:t>
      </w:r>
      <w:r w:rsidR="00B23C14">
        <w:rPr>
          <w:rFonts w:ascii="Oracle Sans" w:hAnsi="Oracle Sans"/>
          <w:lang w:val="it-IT"/>
        </w:rPr>
        <w:t xml:space="preserve"> s</w:t>
      </w:r>
      <w:r w:rsidR="002B5B59">
        <w:rPr>
          <w:rFonts w:ascii="Oracle Sans" w:hAnsi="Oracle Sans"/>
          <w:lang w:val="it-IT"/>
        </w:rPr>
        <w:t xml:space="preserve">e vogliono stare al passo con </w:t>
      </w:r>
      <w:r w:rsidR="00C56B41">
        <w:rPr>
          <w:rFonts w:ascii="Oracle Sans" w:hAnsi="Oracle Sans"/>
          <w:lang w:val="it-IT"/>
        </w:rPr>
        <w:t xml:space="preserve">il </w:t>
      </w:r>
      <w:r w:rsidRPr="003E72C2">
        <w:rPr>
          <w:rFonts w:ascii="Oracle Sans" w:hAnsi="Oracle Sans"/>
          <w:lang w:val="it-IT"/>
        </w:rPr>
        <w:t>volum</w:t>
      </w:r>
      <w:r w:rsidR="00C56B41">
        <w:rPr>
          <w:rFonts w:ascii="Oracle Sans" w:hAnsi="Oracle Sans"/>
          <w:lang w:val="it-IT"/>
        </w:rPr>
        <w:t xml:space="preserve">e </w:t>
      </w:r>
      <w:r w:rsidRPr="003E72C2">
        <w:rPr>
          <w:rFonts w:ascii="Oracle Sans" w:hAnsi="Oracle Sans"/>
          <w:lang w:val="it-IT"/>
        </w:rPr>
        <w:t xml:space="preserve">di </w:t>
      </w:r>
      <w:r w:rsidR="00243B56">
        <w:rPr>
          <w:rFonts w:ascii="Oracle Sans" w:hAnsi="Oracle Sans"/>
          <w:lang w:val="it-IT"/>
        </w:rPr>
        <w:t xml:space="preserve">transazioni in aumento. </w:t>
      </w:r>
      <w:r w:rsidR="00C56B41" w:rsidRPr="003E72C2">
        <w:rPr>
          <w:rFonts w:ascii="Oracle Sans" w:hAnsi="Oracle Sans"/>
          <w:b/>
          <w:color w:val="000000" w:themeColor="text1"/>
          <w:lang w:val="it-IT"/>
        </w:rPr>
        <w:t>Oracle Banking Cloud Services</w:t>
      </w:r>
      <w:r w:rsidR="00C56B41">
        <w:rPr>
          <w:rFonts w:ascii="Oracle Sans" w:hAnsi="Oracle Sans"/>
          <w:b/>
          <w:color w:val="000000" w:themeColor="text1"/>
          <w:lang w:val="it-IT"/>
        </w:rPr>
        <w:t xml:space="preserve">, </w:t>
      </w:r>
      <w:r w:rsidR="00C56B41" w:rsidRPr="000052D3">
        <w:rPr>
          <w:rFonts w:ascii="Oracle Sans" w:hAnsi="Oracle Sans"/>
          <w:bCs/>
          <w:color w:val="000000" w:themeColor="text1"/>
          <w:lang w:val="it-IT"/>
        </w:rPr>
        <w:t>la</w:t>
      </w:r>
      <w:r w:rsidR="00C56B41" w:rsidRPr="003E72C2">
        <w:rPr>
          <w:rFonts w:ascii="Oracle Sans" w:hAnsi="Oracle Sans" w:cstheme="minorHAnsi"/>
          <w:color w:val="000000" w:themeColor="text1"/>
          <w:lang w:val="it-IT"/>
        </w:rPr>
        <w:t xml:space="preserve"> nuova </w:t>
      </w:r>
      <w:r w:rsidR="00C56B41" w:rsidRPr="003E72C2">
        <w:rPr>
          <w:rFonts w:ascii="Oracle Sans" w:hAnsi="Oracle Sans" w:cstheme="minorHAnsi"/>
          <w:lang w:val="it-IT"/>
        </w:rPr>
        <w:t xml:space="preserve">suite di servizi </w:t>
      </w:r>
      <w:r w:rsidR="00C56B41" w:rsidRPr="00172DCF">
        <w:rPr>
          <w:rFonts w:ascii="Oracle Sans" w:hAnsi="Oracle Sans" w:cstheme="minorHAnsi"/>
          <w:i/>
          <w:iCs/>
          <w:lang w:val="it-IT"/>
        </w:rPr>
        <w:t>cloud-native</w:t>
      </w:r>
      <w:r w:rsidR="00C56B41" w:rsidRPr="003E72C2">
        <w:rPr>
          <w:rFonts w:ascii="Oracle Sans" w:hAnsi="Oracle Sans" w:cstheme="minorHAnsi"/>
          <w:lang w:val="it-IT"/>
        </w:rPr>
        <w:t xml:space="preserve"> </w:t>
      </w:r>
      <w:r w:rsidR="00C56B41">
        <w:rPr>
          <w:rFonts w:ascii="Oracle Sans" w:hAnsi="Oracle Sans" w:cstheme="minorHAnsi"/>
          <w:lang w:val="it-IT"/>
        </w:rPr>
        <w:t>modular</w:t>
      </w:r>
      <w:r w:rsidR="00C56B41" w:rsidRPr="003E72C2">
        <w:rPr>
          <w:rFonts w:ascii="Oracle Sans" w:hAnsi="Oracle Sans" w:cstheme="minorHAnsi"/>
          <w:lang w:val="it-IT"/>
        </w:rPr>
        <w:t xml:space="preserve">i e </w:t>
      </w:r>
      <w:r w:rsidR="00C56B41">
        <w:rPr>
          <w:rFonts w:ascii="Oracle Sans" w:hAnsi="Oracle Sans" w:cstheme="minorHAnsi"/>
          <w:lang w:val="it-IT"/>
        </w:rPr>
        <w:t xml:space="preserve">componibili </w:t>
      </w:r>
      <w:r w:rsidR="009D1049">
        <w:rPr>
          <w:rFonts w:ascii="Oracle Sans" w:hAnsi="Oracle Sans" w:cstheme="minorHAnsi"/>
          <w:lang w:val="it-IT"/>
        </w:rPr>
        <w:t>di</w:t>
      </w:r>
      <w:r w:rsidR="00C56B41">
        <w:rPr>
          <w:rFonts w:ascii="Oracle Sans" w:hAnsi="Oracle Sans" w:cstheme="minorHAnsi"/>
          <w:lang w:val="it-IT"/>
        </w:rPr>
        <w:t xml:space="preserve"> Oracle nasce proprio per affrontare queste sfide. </w:t>
      </w:r>
    </w:p>
    <w:p w14:paraId="05FB6E76" w14:textId="1656DA4B" w:rsidR="00C56B41" w:rsidRDefault="00C56B41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352C73AB" w14:textId="51A4E9A4" w:rsidR="00C56B41" w:rsidRPr="00C56B41" w:rsidRDefault="009D1049" w:rsidP="001E17F1">
      <w:pPr>
        <w:jc w:val="both"/>
        <w:rPr>
          <w:rFonts w:ascii="Oracle Sans" w:hAnsi="Oracle Sans" w:cstheme="minorHAnsi"/>
          <w:lang w:val="it-IT"/>
        </w:rPr>
      </w:pPr>
      <w:r>
        <w:rPr>
          <w:rFonts w:ascii="Oracle Sans" w:hAnsi="Oracle Sans" w:cstheme="minorHAnsi"/>
          <w:lang w:val="it-IT"/>
        </w:rPr>
        <w:t>Grazie a s</w:t>
      </w:r>
      <w:r w:rsidR="00C56B41">
        <w:rPr>
          <w:rFonts w:ascii="Oracle Sans" w:hAnsi="Oracle Sans" w:cstheme="minorHAnsi"/>
          <w:lang w:val="it-IT"/>
        </w:rPr>
        <w:t>ei</w:t>
      </w:r>
      <w:r w:rsidR="00C56B41" w:rsidRPr="00C56B41">
        <w:rPr>
          <w:rFonts w:ascii="Oracle Sans" w:hAnsi="Oracle Sans" w:cstheme="minorHAnsi"/>
          <w:lang w:val="it-IT"/>
        </w:rPr>
        <w:t xml:space="preserve"> nuovi servizi </w:t>
      </w:r>
      <w:r>
        <w:rPr>
          <w:rFonts w:ascii="Oracle Sans" w:hAnsi="Oracle Sans" w:cstheme="minorHAnsi"/>
          <w:lang w:val="it-IT"/>
        </w:rPr>
        <w:t xml:space="preserve">in cloud – basati </w:t>
      </w:r>
      <w:r w:rsidRPr="00C56B41">
        <w:rPr>
          <w:rFonts w:ascii="Oracle Sans" w:hAnsi="Oracle Sans" w:cstheme="minorHAnsi"/>
          <w:lang w:val="it-IT"/>
        </w:rPr>
        <w:t>su un'architettura a microservizi</w:t>
      </w:r>
      <w:r w:rsidR="00492E37">
        <w:rPr>
          <w:rFonts w:ascii="Oracle Sans" w:hAnsi="Oracle Sans" w:cstheme="minorHAnsi"/>
          <w:lang w:val="it-IT"/>
        </w:rPr>
        <w:t>, su OCI (Oracle Cloud Infrastructure)</w:t>
      </w:r>
      <w:r>
        <w:rPr>
          <w:rFonts w:ascii="Oracle Sans" w:hAnsi="Oracle Sans" w:cstheme="minorHAnsi"/>
          <w:lang w:val="it-IT"/>
        </w:rPr>
        <w:t xml:space="preserve"> - </w:t>
      </w:r>
      <w:r w:rsidRPr="00C56B41">
        <w:rPr>
          <w:rFonts w:ascii="Oracle Sans" w:hAnsi="Oracle Sans" w:cstheme="minorHAnsi"/>
          <w:lang w:val="it-IT"/>
        </w:rPr>
        <w:t xml:space="preserve">le banche </w:t>
      </w:r>
      <w:r>
        <w:rPr>
          <w:rFonts w:ascii="Oracle Sans" w:hAnsi="Oracle Sans" w:cstheme="minorHAnsi"/>
          <w:lang w:val="it-IT"/>
        </w:rPr>
        <w:t>possono ora</w:t>
      </w:r>
      <w:r w:rsidRPr="00C56B41">
        <w:rPr>
          <w:rFonts w:ascii="Oracle Sans" w:hAnsi="Oracle Sans" w:cstheme="minorHAnsi"/>
          <w:lang w:val="it-IT"/>
        </w:rPr>
        <w:t xml:space="preserve"> </w:t>
      </w:r>
      <w:r>
        <w:rPr>
          <w:rFonts w:ascii="Oracle Sans" w:hAnsi="Oracle Sans" w:cstheme="minorHAnsi"/>
          <w:lang w:val="it-IT"/>
        </w:rPr>
        <w:t xml:space="preserve">rinnovarsi e modernizzarsi </w:t>
      </w:r>
      <w:r w:rsidRPr="00C56B41">
        <w:rPr>
          <w:rFonts w:ascii="Oracle Sans" w:hAnsi="Oracle Sans" w:cstheme="minorHAnsi"/>
          <w:lang w:val="it-IT"/>
        </w:rPr>
        <w:t>più velocemente e con meno rischi</w:t>
      </w:r>
      <w:r>
        <w:rPr>
          <w:rFonts w:ascii="Oracle Sans" w:hAnsi="Oracle Sans" w:cstheme="minorHAnsi"/>
          <w:lang w:val="it-IT"/>
        </w:rPr>
        <w:t xml:space="preserve">: 1. </w:t>
      </w:r>
      <w:r w:rsidR="00C56B41">
        <w:rPr>
          <w:rFonts w:ascii="Oracle Sans" w:hAnsi="Oracle Sans" w:cstheme="minorHAnsi"/>
          <w:lang w:val="it-IT"/>
        </w:rPr>
        <w:t>funzionalità di e</w:t>
      </w:r>
      <w:r w:rsidR="00C56B41" w:rsidRPr="00C56B41">
        <w:rPr>
          <w:rFonts w:ascii="Oracle Sans" w:hAnsi="Oracle Sans" w:cstheme="minorHAnsi"/>
          <w:lang w:val="it-IT"/>
        </w:rPr>
        <w:t>laborazione altamente scalabil</w:t>
      </w:r>
      <w:r w:rsidR="00C56B41">
        <w:rPr>
          <w:rFonts w:ascii="Oracle Sans" w:hAnsi="Oracle Sans" w:cstheme="minorHAnsi"/>
          <w:lang w:val="it-IT"/>
        </w:rPr>
        <w:t>i</w:t>
      </w:r>
      <w:r w:rsidR="00C56B41" w:rsidRPr="00C56B41">
        <w:rPr>
          <w:rFonts w:ascii="Oracle Sans" w:hAnsi="Oracle Sans" w:cstheme="minorHAnsi"/>
          <w:lang w:val="it-IT"/>
        </w:rPr>
        <w:t xml:space="preserve"> </w:t>
      </w:r>
      <w:r w:rsidR="00C56B41">
        <w:rPr>
          <w:rFonts w:ascii="Oracle Sans" w:hAnsi="Oracle Sans" w:cstheme="minorHAnsi"/>
          <w:lang w:val="it-IT"/>
        </w:rPr>
        <w:t>per i</w:t>
      </w:r>
      <w:r w:rsidR="00C56B41" w:rsidRPr="00C56B41">
        <w:rPr>
          <w:rFonts w:ascii="Oracle Sans" w:hAnsi="Oracle Sans" w:cstheme="minorHAnsi"/>
          <w:lang w:val="it-IT"/>
        </w:rPr>
        <w:t xml:space="preserve"> conti di deposito a vista aziendali; </w:t>
      </w:r>
      <w:r>
        <w:rPr>
          <w:rFonts w:ascii="Oracle Sans" w:hAnsi="Oracle Sans" w:cstheme="minorHAnsi"/>
          <w:lang w:val="it-IT"/>
        </w:rPr>
        <w:t xml:space="preserve">2. </w:t>
      </w:r>
      <w:r w:rsidR="00C56B41" w:rsidRPr="00C56B41">
        <w:rPr>
          <w:rFonts w:ascii="Oracle Sans" w:hAnsi="Oracle Sans" w:cstheme="minorHAnsi"/>
          <w:lang w:val="it-IT"/>
        </w:rPr>
        <w:t xml:space="preserve">gestione dei limiti e delle garanzie a livello aziendale; </w:t>
      </w:r>
      <w:r>
        <w:rPr>
          <w:rFonts w:ascii="Oracle Sans" w:hAnsi="Oracle Sans" w:cstheme="minorHAnsi"/>
          <w:lang w:val="it-IT"/>
        </w:rPr>
        <w:t xml:space="preserve">3. </w:t>
      </w:r>
      <w:r w:rsidR="00C56B41" w:rsidRPr="00C56B41">
        <w:rPr>
          <w:rFonts w:ascii="Oracle Sans" w:hAnsi="Oracle Sans" w:cstheme="minorHAnsi"/>
          <w:lang w:val="it-IT"/>
        </w:rPr>
        <w:t>elaborazione dei pagamenti globali ISO</w:t>
      </w:r>
      <w:r w:rsidR="00172DCF">
        <w:rPr>
          <w:rFonts w:ascii="Oracle Sans" w:hAnsi="Oracle Sans" w:cstheme="minorHAnsi"/>
          <w:lang w:val="it-IT"/>
        </w:rPr>
        <w:t xml:space="preserve"> </w:t>
      </w:r>
      <w:r w:rsidR="00C56B41" w:rsidRPr="00C56B41">
        <w:rPr>
          <w:rFonts w:ascii="Oracle Sans" w:hAnsi="Oracle Sans" w:cstheme="minorHAnsi"/>
          <w:lang w:val="it-IT"/>
        </w:rPr>
        <w:t xml:space="preserve">20022 in tempo reale; </w:t>
      </w:r>
      <w:r>
        <w:rPr>
          <w:rFonts w:ascii="Oracle Sans" w:hAnsi="Oracle Sans" w:cstheme="minorHAnsi"/>
          <w:lang w:val="it-IT"/>
        </w:rPr>
        <w:t xml:space="preserve">4. </w:t>
      </w:r>
      <w:r w:rsidR="00C56B41" w:rsidRPr="00C56B41">
        <w:rPr>
          <w:rFonts w:ascii="Oracle Sans" w:hAnsi="Oracle Sans" w:cstheme="minorHAnsi"/>
          <w:lang w:val="it-IT"/>
        </w:rPr>
        <w:t xml:space="preserve">gestione delle API; </w:t>
      </w:r>
      <w:r>
        <w:rPr>
          <w:rFonts w:ascii="Oracle Sans" w:hAnsi="Oracle Sans" w:cstheme="minorHAnsi"/>
          <w:lang w:val="it-IT"/>
        </w:rPr>
        <w:t>5.</w:t>
      </w:r>
      <w:r w:rsidR="009A559A">
        <w:rPr>
          <w:rFonts w:ascii="Oracle Sans" w:hAnsi="Oracle Sans" w:cstheme="minorHAnsi"/>
          <w:lang w:val="it-IT"/>
        </w:rPr>
        <w:t xml:space="preserve"> riconoscimento del cliente e </w:t>
      </w:r>
      <w:r w:rsidR="00172DCF">
        <w:rPr>
          <w:rFonts w:ascii="Oracle Sans" w:hAnsi="Oracle Sans" w:cstheme="minorHAnsi"/>
          <w:lang w:val="it-IT"/>
        </w:rPr>
        <w:t>valutazione</w:t>
      </w:r>
      <w:r w:rsidR="009A559A">
        <w:rPr>
          <w:rFonts w:ascii="Oracle Sans" w:hAnsi="Oracle Sans" w:cstheme="minorHAnsi"/>
          <w:lang w:val="it-IT"/>
        </w:rPr>
        <w:t xml:space="preserve"> per la concessione di prestiti ai clienti retail</w:t>
      </w:r>
      <w:r w:rsidR="000052D3">
        <w:rPr>
          <w:rFonts w:ascii="Oracle Sans" w:hAnsi="Oracle Sans" w:cstheme="minorHAnsi"/>
          <w:lang w:val="it-IT"/>
        </w:rPr>
        <w:t>;</w:t>
      </w:r>
      <w:r>
        <w:rPr>
          <w:rFonts w:ascii="Oracle Sans" w:hAnsi="Oracle Sans" w:cstheme="minorHAnsi"/>
          <w:lang w:val="it-IT"/>
        </w:rPr>
        <w:t xml:space="preserve"> e 6. da ultimo ma non meno importante,</w:t>
      </w:r>
      <w:r w:rsidR="000052D3">
        <w:rPr>
          <w:rFonts w:ascii="Oracle Sans" w:hAnsi="Oracle Sans" w:cstheme="minorHAnsi"/>
          <w:lang w:val="it-IT"/>
        </w:rPr>
        <w:t xml:space="preserve"> </w:t>
      </w:r>
      <w:r w:rsidR="00C56B41" w:rsidRPr="00C56B41">
        <w:rPr>
          <w:rFonts w:ascii="Oracle Sans" w:hAnsi="Oracle Sans" w:cstheme="minorHAnsi"/>
          <w:lang w:val="it-IT"/>
        </w:rPr>
        <w:t xml:space="preserve">nuove funzionalità </w:t>
      </w:r>
      <w:r w:rsidR="00C56B41">
        <w:rPr>
          <w:rFonts w:ascii="Oracle Sans" w:hAnsi="Oracle Sans" w:cstheme="minorHAnsi"/>
          <w:lang w:val="it-IT"/>
        </w:rPr>
        <w:t>per offrire ai clienti un’esperienza digitale</w:t>
      </w:r>
      <w:r w:rsidR="00C56B41" w:rsidRPr="00C56B41">
        <w:rPr>
          <w:rFonts w:ascii="Oracle Sans" w:hAnsi="Oracle Sans" w:cstheme="minorHAnsi"/>
          <w:lang w:val="it-IT"/>
        </w:rPr>
        <w:t xml:space="preserve"> self-service.</w:t>
      </w:r>
      <w:r w:rsidR="00C56B41">
        <w:rPr>
          <w:rFonts w:ascii="Oracle Sans" w:hAnsi="Oracle Sans" w:cstheme="minorHAnsi"/>
          <w:lang w:val="it-IT"/>
        </w:rPr>
        <w:t xml:space="preserve"> </w:t>
      </w:r>
    </w:p>
    <w:p w14:paraId="42665BB4" w14:textId="77777777" w:rsidR="005938B6" w:rsidRPr="003E72C2" w:rsidRDefault="005938B6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28CB668B" w14:textId="1C770188" w:rsidR="005938B6" w:rsidRPr="003E72C2" w:rsidRDefault="00080BD2" w:rsidP="001E17F1">
      <w:pPr>
        <w:pStyle w:val="P68B1DB1-Normal4"/>
        <w:jc w:val="both"/>
        <w:rPr>
          <w:lang w:val="it-IT"/>
        </w:rPr>
      </w:pPr>
      <w:r w:rsidRPr="009D1049">
        <w:rPr>
          <w:i/>
          <w:iCs/>
          <w:lang w:val="it-IT"/>
        </w:rPr>
        <w:t>"Le banche devono innovare se vogliono avere successo nell'ambiente iper-competitivo di oggi"</w:t>
      </w:r>
      <w:r w:rsidRPr="003E72C2">
        <w:rPr>
          <w:lang w:val="it-IT"/>
        </w:rPr>
        <w:t xml:space="preserve">, ha dichiarato </w:t>
      </w:r>
      <w:r w:rsidRPr="000052D3">
        <w:rPr>
          <w:b/>
          <w:bCs/>
          <w:lang w:val="it-IT"/>
        </w:rPr>
        <w:t>Sonny Singh, executive vice president e general manager di Oracle Financial Services</w:t>
      </w:r>
      <w:r w:rsidRPr="003E72C2">
        <w:rPr>
          <w:lang w:val="it-IT"/>
        </w:rPr>
        <w:t xml:space="preserve">. </w:t>
      </w:r>
      <w:r w:rsidRPr="009D1049">
        <w:rPr>
          <w:i/>
          <w:iCs/>
          <w:lang w:val="it-IT"/>
        </w:rPr>
        <w:t>"Abbiamo creato una delle suite di soluzioni SaaS cloud</w:t>
      </w:r>
      <w:r w:rsidR="00526B70" w:rsidRPr="009D1049">
        <w:rPr>
          <w:i/>
          <w:iCs/>
          <w:lang w:val="it-IT"/>
        </w:rPr>
        <w:t>-</w:t>
      </w:r>
      <w:r w:rsidRPr="009D1049">
        <w:rPr>
          <w:i/>
          <w:iCs/>
          <w:lang w:val="it-IT"/>
        </w:rPr>
        <w:t xml:space="preserve">native </w:t>
      </w:r>
      <w:r w:rsidR="009D1049">
        <w:rPr>
          <w:i/>
          <w:iCs/>
          <w:lang w:val="it-IT"/>
        </w:rPr>
        <w:t xml:space="preserve">tra le </w:t>
      </w:r>
      <w:r w:rsidRPr="009D1049">
        <w:rPr>
          <w:i/>
          <w:iCs/>
          <w:lang w:val="it-IT"/>
        </w:rPr>
        <w:t xml:space="preserve">più complete al mondo </w:t>
      </w:r>
      <w:r w:rsidR="009D1049">
        <w:rPr>
          <w:i/>
          <w:iCs/>
          <w:lang w:val="it-IT"/>
        </w:rPr>
        <w:t xml:space="preserve">perchè le banche possano </w:t>
      </w:r>
      <w:r w:rsidRPr="009D1049">
        <w:rPr>
          <w:i/>
          <w:iCs/>
          <w:lang w:val="it-IT"/>
        </w:rPr>
        <w:t>innovare con velocità, sicurezza e scalabilità senza compromettere</w:t>
      </w:r>
      <w:r w:rsidR="009D1049">
        <w:rPr>
          <w:i/>
          <w:iCs/>
          <w:lang w:val="it-IT"/>
        </w:rPr>
        <w:t xml:space="preserve"> </w:t>
      </w:r>
      <w:r w:rsidRPr="009D1049">
        <w:rPr>
          <w:i/>
          <w:iCs/>
          <w:lang w:val="it-IT"/>
        </w:rPr>
        <w:t>i</w:t>
      </w:r>
      <w:r w:rsidR="009D1049">
        <w:rPr>
          <w:i/>
          <w:iCs/>
          <w:lang w:val="it-IT"/>
        </w:rPr>
        <w:t xml:space="preserve"> loro</w:t>
      </w:r>
      <w:r w:rsidRPr="009D1049">
        <w:rPr>
          <w:i/>
          <w:iCs/>
          <w:lang w:val="it-IT"/>
        </w:rPr>
        <w:t xml:space="preserve"> ambienti</w:t>
      </w:r>
      <w:r w:rsidR="009D1049">
        <w:rPr>
          <w:i/>
          <w:iCs/>
          <w:lang w:val="it-IT"/>
        </w:rPr>
        <w:t xml:space="preserve"> IT</w:t>
      </w:r>
      <w:r w:rsidRPr="009D1049">
        <w:rPr>
          <w:i/>
          <w:iCs/>
          <w:lang w:val="it-IT"/>
        </w:rPr>
        <w:t xml:space="preserve"> esistenti</w:t>
      </w:r>
      <w:r w:rsidRPr="003E72C2">
        <w:rPr>
          <w:lang w:val="it-IT"/>
        </w:rPr>
        <w:t>".</w:t>
      </w:r>
    </w:p>
    <w:p w14:paraId="0916D221" w14:textId="77777777" w:rsidR="005938B6" w:rsidRPr="003E72C2" w:rsidRDefault="005938B6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1C9C9AA9" w14:textId="0D10EE22" w:rsidR="00492E37" w:rsidRDefault="00080BD2" w:rsidP="00492E37">
      <w:pPr>
        <w:pStyle w:val="P68B1DB1-Normal4"/>
        <w:jc w:val="both"/>
        <w:rPr>
          <w:lang w:val="it-IT"/>
        </w:rPr>
      </w:pPr>
      <w:r w:rsidRPr="003E72C2">
        <w:rPr>
          <w:lang w:val="it-IT"/>
        </w:rPr>
        <w:t xml:space="preserve">I </w:t>
      </w:r>
      <w:r w:rsidR="00492E37">
        <w:rPr>
          <w:lang w:val="it-IT"/>
        </w:rPr>
        <w:t xml:space="preserve">nuovi </w:t>
      </w:r>
      <w:r w:rsidRPr="003E72C2">
        <w:rPr>
          <w:lang w:val="it-IT"/>
        </w:rPr>
        <w:t xml:space="preserve">servizi </w:t>
      </w:r>
      <w:r w:rsidR="00492E37">
        <w:rPr>
          <w:lang w:val="it-IT"/>
        </w:rPr>
        <w:t xml:space="preserve">cloud </w:t>
      </w:r>
      <w:r w:rsidRPr="003E72C2">
        <w:rPr>
          <w:lang w:val="it-IT"/>
        </w:rPr>
        <w:t xml:space="preserve">possono essere eseguiti da soli, funzionare insieme </w:t>
      </w:r>
      <w:r w:rsidR="00C56B41">
        <w:rPr>
          <w:lang w:val="it-IT"/>
        </w:rPr>
        <w:t xml:space="preserve">in modo integrato </w:t>
      </w:r>
      <w:r w:rsidRPr="003E72C2">
        <w:rPr>
          <w:lang w:val="it-IT"/>
        </w:rPr>
        <w:t xml:space="preserve">e coesistere con le applicazioni </w:t>
      </w:r>
      <w:r w:rsidR="00D22FA2">
        <w:rPr>
          <w:lang w:val="it-IT"/>
        </w:rPr>
        <w:t>esistenti</w:t>
      </w:r>
      <w:r w:rsidR="00D22FA2" w:rsidRPr="003E72C2">
        <w:rPr>
          <w:lang w:val="it-IT"/>
        </w:rPr>
        <w:t xml:space="preserve"> </w:t>
      </w:r>
      <w:r w:rsidR="00A21DEA" w:rsidRPr="00A21DEA">
        <w:rPr>
          <w:lang w:val="it-IT"/>
        </w:rPr>
        <w:t xml:space="preserve">così che </w:t>
      </w:r>
      <w:r w:rsidRPr="003E72C2">
        <w:rPr>
          <w:lang w:val="it-IT"/>
        </w:rPr>
        <w:t>le banche</w:t>
      </w:r>
      <w:r w:rsidR="007C46C4">
        <w:rPr>
          <w:lang w:val="it-IT"/>
        </w:rPr>
        <w:t xml:space="preserve"> possano, da un lato, </w:t>
      </w:r>
      <w:r w:rsidRPr="003E72C2">
        <w:rPr>
          <w:lang w:val="it-IT"/>
        </w:rPr>
        <w:t xml:space="preserve">ridurre costi e rischi </w:t>
      </w:r>
      <w:r w:rsidR="00492E37">
        <w:rPr>
          <w:lang w:val="it-IT"/>
        </w:rPr>
        <w:t xml:space="preserve"> dell’IT </w:t>
      </w:r>
      <w:r w:rsidRPr="003E72C2">
        <w:rPr>
          <w:lang w:val="it-IT"/>
        </w:rPr>
        <w:t xml:space="preserve">e, </w:t>
      </w:r>
      <w:r w:rsidR="007C46C4">
        <w:rPr>
          <w:lang w:val="it-IT"/>
        </w:rPr>
        <w:t>dall’altro</w:t>
      </w:r>
      <w:r w:rsidRPr="003E72C2">
        <w:rPr>
          <w:lang w:val="it-IT"/>
        </w:rPr>
        <w:t>, a</w:t>
      </w:r>
      <w:r w:rsidR="00492E37">
        <w:rPr>
          <w:lang w:val="it-IT"/>
        </w:rPr>
        <w:t>ccelerare</w:t>
      </w:r>
      <w:r w:rsidRPr="003E72C2">
        <w:rPr>
          <w:lang w:val="it-IT"/>
        </w:rPr>
        <w:t xml:space="preserve"> l'innovazione</w:t>
      </w:r>
      <w:r w:rsidR="00492E37">
        <w:rPr>
          <w:lang w:val="it-IT"/>
        </w:rPr>
        <w:t xml:space="preserve">, con vantaggi come ad esempio </w:t>
      </w:r>
      <w:r w:rsidR="00C56B41">
        <w:rPr>
          <w:lang w:val="it-IT"/>
        </w:rPr>
        <w:t>maggiore rapidità nel provisioning e nella disponibilità dei dati,</w:t>
      </w:r>
      <w:r w:rsidR="000052D3">
        <w:rPr>
          <w:lang w:val="it-IT"/>
        </w:rPr>
        <w:t xml:space="preserve"> </w:t>
      </w:r>
      <w:r w:rsidR="007C10DD">
        <w:rPr>
          <w:lang w:val="it-IT"/>
        </w:rPr>
        <w:t>applica</w:t>
      </w:r>
      <w:r w:rsidR="00492E37">
        <w:rPr>
          <w:lang w:val="it-IT"/>
        </w:rPr>
        <w:t>zione</w:t>
      </w:r>
      <w:r w:rsidR="007C10DD">
        <w:rPr>
          <w:lang w:val="it-IT"/>
        </w:rPr>
        <w:t xml:space="preserve"> in modo automatizzato </w:t>
      </w:r>
      <w:r w:rsidR="00492E37">
        <w:rPr>
          <w:lang w:val="it-IT"/>
        </w:rPr>
        <w:t>di</w:t>
      </w:r>
      <w:r w:rsidR="007C10DD">
        <w:rPr>
          <w:lang w:val="it-IT"/>
        </w:rPr>
        <w:t xml:space="preserve"> patch, abbrevia</w:t>
      </w:r>
      <w:r w:rsidR="00492E37">
        <w:rPr>
          <w:lang w:val="it-IT"/>
        </w:rPr>
        <w:t>zione dei tempi</w:t>
      </w:r>
      <w:r w:rsidR="007C10DD">
        <w:rPr>
          <w:lang w:val="it-IT"/>
        </w:rPr>
        <w:t xml:space="preserve"> di </w:t>
      </w:r>
      <w:r w:rsidR="007C10DD" w:rsidRPr="00492E37">
        <w:rPr>
          <w:i/>
          <w:iCs/>
          <w:lang w:val="it-IT"/>
        </w:rPr>
        <w:t>switchover</w:t>
      </w:r>
      <w:r w:rsidR="007C10DD">
        <w:rPr>
          <w:lang w:val="it-IT"/>
        </w:rPr>
        <w:t xml:space="preserve"> </w:t>
      </w:r>
      <w:r w:rsidR="00492E37">
        <w:rPr>
          <w:lang w:val="it-IT"/>
        </w:rPr>
        <w:t>nel</w:t>
      </w:r>
      <w:r w:rsidR="007C10DD">
        <w:rPr>
          <w:lang w:val="it-IT"/>
        </w:rPr>
        <w:t xml:space="preserve"> </w:t>
      </w:r>
      <w:r w:rsidR="007C10DD" w:rsidRPr="00492E37">
        <w:rPr>
          <w:i/>
          <w:iCs/>
          <w:lang w:val="it-IT"/>
        </w:rPr>
        <w:t>disaster recovery</w:t>
      </w:r>
      <w:r w:rsidR="00492E37">
        <w:rPr>
          <w:lang w:val="it-IT"/>
        </w:rPr>
        <w:t xml:space="preserve">. </w:t>
      </w:r>
      <w:r w:rsidRPr="003E72C2">
        <w:rPr>
          <w:lang w:val="it-IT"/>
        </w:rPr>
        <w:t>I nuovi servizi</w:t>
      </w:r>
      <w:r w:rsidR="007C10DD">
        <w:rPr>
          <w:lang w:val="it-IT"/>
        </w:rPr>
        <w:t xml:space="preserve"> godono</w:t>
      </w:r>
      <w:r w:rsidR="00492E37">
        <w:rPr>
          <w:lang w:val="it-IT"/>
        </w:rPr>
        <w:t xml:space="preserve"> infatti</w:t>
      </w:r>
      <w:r w:rsidR="007C10DD">
        <w:rPr>
          <w:lang w:val="it-IT"/>
        </w:rPr>
        <w:t xml:space="preserve"> d</w:t>
      </w:r>
      <w:r w:rsidR="00492E37">
        <w:rPr>
          <w:lang w:val="it-IT"/>
        </w:rPr>
        <w:t>elle</w:t>
      </w:r>
      <w:r w:rsidR="007C10DD">
        <w:rPr>
          <w:lang w:val="it-IT"/>
        </w:rPr>
        <w:t xml:space="preserve"> </w:t>
      </w:r>
      <w:r w:rsidRPr="003E72C2">
        <w:rPr>
          <w:lang w:val="it-IT"/>
        </w:rPr>
        <w:t>prestazioni elevate, scalabilità, sicurezza e</w:t>
      </w:r>
      <w:r w:rsidRPr="00492E37">
        <w:rPr>
          <w:i/>
          <w:iCs/>
          <w:lang w:val="it-IT"/>
        </w:rPr>
        <w:t xml:space="preserve"> compliance</w:t>
      </w:r>
      <w:r w:rsidRPr="003E72C2">
        <w:rPr>
          <w:lang w:val="it-IT"/>
        </w:rPr>
        <w:t xml:space="preserve"> </w:t>
      </w:r>
      <w:r w:rsidR="00492E37">
        <w:rPr>
          <w:lang w:val="it-IT"/>
        </w:rPr>
        <w:t xml:space="preserve">tipiche </w:t>
      </w:r>
      <w:r w:rsidRPr="003E72C2">
        <w:rPr>
          <w:lang w:val="it-IT"/>
        </w:rPr>
        <w:t>di O</w:t>
      </w:r>
      <w:r w:rsidR="00492E37">
        <w:rPr>
          <w:lang w:val="it-IT"/>
        </w:rPr>
        <w:t>CI (O</w:t>
      </w:r>
      <w:r w:rsidRPr="003E72C2">
        <w:rPr>
          <w:lang w:val="it-IT"/>
        </w:rPr>
        <w:t>racle Cloud Infrastructure</w:t>
      </w:r>
      <w:r w:rsidR="00492E37">
        <w:rPr>
          <w:lang w:val="it-IT"/>
        </w:rPr>
        <w:t>)</w:t>
      </w:r>
      <w:r w:rsidR="009C602E">
        <w:rPr>
          <w:lang w:val="it-IT"/>
        </w:rPr>
        <w:t>,</w:t>
      </w:r>
      <w:r w:rsidR="00492E37">
        <w:rPr>
          <w:lang w:val="it-IT"/>
        </w:rPr>
        <w:t xml:space="preserve"> </w:t>
      </w:r>
      <w:r w:rsidR="00706A04">
        <w:rPr>
          <w:lang w:val="it-IT"/>
        </w:rPr>
        <w:t xml:space="preserve">di cui fa parte </w:t>
      </w:r>
      <w:r w:rsidR="007C10DD">
        <w:rPr>
          <w:lang w:val="it-IT"/>
        </w:rPr>
        <w:t xml:space="preserve">anche </w:t>
      </w:r>
      <w:r w:rsidRPr="003E72C2">
        <w:rPr>
          <w:lang w:val="it-IT"/>
        </w:rPr>
        <w:t xml:space="preserve">Oracle Kubernetes Engine. </w:t>
      </w:r>
      <w:r w:rsidR="00492E37">
        <w:rPr>
          <w:lang w:val="it-IT"/>
        </w:rPr>
        <w:t>Grazie alla presenza</w:t>
      </w:r>
      <w:r w:rsidR="00750A7D">
        <w:rPr>
          <w:lang w:val="it-IT"/>
        </w:rPr>
        <w:t xml:space="preserve"> </w:t>
      </w:r>
      <w:r w:rsidR="00492E37">
        <w:rPr>
          <w:lang w:val="it-IT"/>
        </w:rPr>
        <w:t xml:space="preserve">capillare in tutto il mondo </w:t>
      </w:r>
      <w:r w:rsidRPr="003E72C2">
        <w:rPr>
          <w:lang w:val="it-IT"/>
        </w:rPr>
        <w:t xml:space="preserve">delle </w:t>
      </w:r>
      <w:r w:rsidR="00492E37">
        <w:rPr>
          <w:lang w:val="it-IT"/>
        </w:rPr>
        <w:t>C</w:t>
      </w:r>
      <w:r w:rsidR="00792C2B" w:rsidRPr="003E72C2">
        <w:rPr>
          <w:lang w:val="it-IT"/>
        </w:rPr>
        <w:t xml:space="preserve">loud </w:t>
      </w:r>
      <w:r w:rsidR="00492E37">
        <w:rPr>
          <w:lang w:val="it-IT"/>
        </w:rPr>
        <w:t>R</w:t>
      </w:r>
      <w:r w:rsidRPr="003E72C2">
        <w:rPr>
          <w:lang w:val="it-IT"/>
        </w:rPr>
        <w:t>egion</w:t>
      </w:r>
      <w:r w:rsidR="007C10DD">
        <w:rPr>
          <w:lang w:val="it-IT"/>
        </w:rPr>
        <w:t xml:space="preserve"> </w:t>
      </w:r>
      <w:r w:rsidR="00492E37">
        <w:rPr>
          <w:lang w:val="it-IT"/>
        </w:rPr>
        <w:t xml:space="preserve">di </w:t>
      </w:r>
      <w:r w:rsidR="007C10DD">
        <w:rPr>
          <w:lang w:val="it-IT"/>
        </w:rPr>
        <w:t>Oracle</w:t>
      </w:r>
      <w:r w:rsidR="00492E37">
        <w:rPr>
          <w:lang w:val="it-IT"/>
        </w:rPr>
        <w:t xml:space="preserve"> </w:t>
      </w:r>
      <w:r w:rsidR="00750A7D">
        <w:rPr>
          <w:lang w:val="it-IT"/>
        </w:rPr>
        <w:t xml:space="preserve">e </w:t>
      </w:r>
      <w:r w:rsidR="007C10DD">
        <w:rPr>
          <w:lang w:val="it-IT"/>
        </w:rPr>
        <w:t>al</w:t>
      </w:r>
      <w:r w:rsidRPr="003E72C2">
        <w:rPr>
          <w:lang w:val="it-IT"/>
        </w:rPr>
        <w:t xml:space="preserve"> più ampio set di opzioni distribuite, gli Oracle Banking Cloud Services possono essere implementati </w:t>
      </w:r>
      <w:r w:rsidR="00706A04">
        <w:rPr>
          <w:lang w:val="it-IT"/>
        </w:rPr>
        <w:t>secondo</w:t>
      </w:r>
      <w:r w:rsidRPr="003E72C2">
        <w:rPr>
          <w:lang w:val="it-IT"/>
        </w:rPr>
        <w:t xml:space="preserve"> le esigenze di sovranità</w:t>
      </w:r>
      <w:r w:rsidR="00492E37">
        <w:rPr>
          <w:lang w:val="it-IT"/>
        </w:rPr>
        <w:t>/</w:t>
      </w:r>
      <w:r w:rsidRPr="003E72C2">
        <w:rPr>
          <w:lang w:val="it-IT"/>
        </w:rPr>
        <w:t xml:space="preserve">residenza dei dati. </w:t>
      </w:r>
      <w:r w:rsidR="00492E37">
        <w:rPr>
          <w:lang w:val="it-IT"/>
        </w:rPr>
        <w:t xml:space="preserve">Ecco i nuovi </w:t>
      </w:r>
      <w:r w:rsidRPr="003E72C2">
        <w:rPr>
          <w:lang w:val="it-IT"/>
        </w:rPr>
        <w:t>servizi</w:t>
      </w:r>
      <w:r w:rsidR="00492E37">
        <w:rPr>
          <w:lang w:val="it-IT"/>
        </w:rPr>
        <w:t>:</w:t>
      </w:r>
    </w:p>
    <w:p w14:paraId="752DA3EA" w14:textId="3EE60CF4" w:rsidR="005938B6" w:rsidRPr="003E72C2" w:rsidRDefault="005938B6" w:rsidP="00492E37">
      <w:pPr>
        <w:pStyle w:val="P68B1DB1-Normal4"/>
        <w:jc w:val="both"/>
        <w:rPr>
          <w:color w:val="212121"/>
          <w:lang w:val="it-IT"/>
        </w:rPr>
      </w:pPr>
    </w:p>
    <w:p w14:paraId="6C43C08B" w14:textId="3B0ED01A" w:rsidR="005938B6" w:rsidRPr="00492E37" w:rsidRDefault="00080BD2" w:rsidP="00492E37">
      <w:pPr>
        <w:pStyle w:val="P68B1DB1-Normal5"/>
        <w:numPr>
          <w:ilvl w:val="0"/>
          <w:numId w:val="4"/>
        </w:numPr>
        <w:jc w:val="both"/>
      </w:pPr>
      <w:r w:rsidRPr="00492E37">
        <w:t>Oracle Banking Accounts Cloud Service</w:t>
      </w:r>
    </w:p>
    <w:p w14:paraId="3E12B46F" w14:textId="5B5BC8DE" w:rsidR="005938B6" w:rsidRPr="003E72C2" w:rsidRDefault="00080BD2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Le attuali soluzioni aziendali 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per il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conto </w:t>
      </w:r>
      <w:r w:rsidR="00E575B7">
        <w:rPr>
          <w:rFonts w:ascii="Oracle Sans" w:eastAsia="Times New Roman" w:hAnsi="Oracle Sans" w:cs="Calibri"/>
          <w:color w:val="000000"/>
          <w:lang w:val="it-IT"/>
        </w:rPr>
        <w:t xml:space="preserve">di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deposito a vista (DDA, demand deposit account) non sono 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sufficienti </w:t>
      </w:r>
      <w:r w:rsidRPr="003E72C2">
        <w:rPr>
          <w:rFonts w:ascii="Oracle Sans" w:eastAsia="Times New Roman" w:hAnsi="Oracle Sans" w:cs="Calibri"/>
          <w:color w:val="000000"/>
          <w:lang w:val="it-IT"/>
        </w:rPr>
        <w:t>per gestire l</w:t>
      </w:r>
      <w:r w:rsidR="00E575B7">
        <w:rPr>
          <w:rFonts w:ascii="Oracle Sans" w:eastAsia="Times New Roman" w:hAnsi="Oracle Sans" w:cs="Calibri"/>
          <w:color w:val="000000"/>
          <w:lang w:val="it-IT"/>
        </w:rPr>
        <w:t>’</w:t>
      </w:r>
      <w:r w:rsidRPr="003E72C2">
        <w:rPr>
          <w:rFonts w:ascii="Oracle Sans" w:eastAsia="Times New Roman" w:hAnsi="Oracle Sans" w:cs="Calibri"/>
          <w:color w:val="000000"/>
          <w:lang w:val="it-IT"/>
        </w:rPr>
        <w:t>esplosione dell</w:t>
      </w:r>
      <w:r w:rsidR="00E575B7">
        <w:rPr>
          <w:rFonts w:ascii="Oracle Sans" w:eastAsia="Times New Roman" w:hAnsi="Oracle Sans" w:cs="Calibri"/>
          <w:color w:val="000000"/>
          <w:lang w:val="it-IT"/>
        </w:rPr>
        <w:t>’</w:t>
      </w:r>
      <w:r w:rsidRPr="003E72C2">
        <w:rPr>
          <w:rFonts w:ascii="Oracle Sans" w:eastAsia="Times New Roman" w:hAnsi="Oracle Sans" w:cs="Calibri"/>
          <w:color w:val="000000"/>
          <w:lang w:val="it-IT"/>
        </w:rPr>
        <w:t>e-commerce e dei pagamenti digitali</w:t>
      </w:r>
      <w:r w:rsidR="007C10DD">
        <w:rPr>
          <w:rFonts w:ascii="Oracle Sans" w:eastAsia="Times New Roman" w:hAnsi="Oracle Sans" w:cs="Calibri"/>
          <w:color w:val="000000"/>
          <w:lang w:val="it-IT"/>
        </w:rPr>
        <w:t>,</w:t>
      </w:r>
      <w:r w:rsidR="000052D3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che hanno causato un massiccio aumento delle transazioni bancarie globali. </w:t>
      </w:r>
      <w:hyperlink r:id="rId6" w:history="1">
        <w:r w:rsidRPr="003E72C2">
          <w:rPr>
            <w:rStyle w:val="Collegamentoipertestuale"/>
            <w:rFonts w:ascii="Oracle Sans" w:eastAsia="Times New Roman" w:hAnsi="Oracle Sans" w:cs="Calibri"/>
            <w:lang w:val="it-IT"/>
          </w:rPr>
          <w:t>PwC</w:t>
        </w:r>
      </w:hyperlink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stima che il volume globale dei pagamenti </w:t>
      </w:r>
      <w:r w:rsidR="00492E37" w:rsidRPr="00492E37">
        <w:rPr>
          <w:rFonts w:ascii="Oracle Sans" w:eastAsia="Times New Roman" w:hAnsi="Oracle Sans" w:cs="Calibri"/>
          <w:i/>
          <w:iCs/>
          <w:color w:val="000000"/>
          <w:lang w:val="it-IT"/>
        </w:rPr>
        <w:lastRenderedPageBreak/>
        <w:t>cashless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aumenterà di oltre </w:t>
      </w:r>
      <w:r w:rsidR="00492E37">
        <w:rPr>
          <w:rFonts w:ascii="Oracle Sans" w:eastAsia="Times New Roman" w:hAnsi="Oracle Sans" w:cs="Calibri"/>
          <w:color w:val="000000"/>
          <w:lang w:val="it-IT"/>
        </w:rPr>
        <w:t>l’+</w:t>
      </w:r>
      <w:r w:rsidRPr="003E72C2">
        <w:rPr>
          <w:rFonts w:ascii="Oracle Sans" w:eastAsia="Times New Roman" w:hAnsi="Oracle Sans" w:cs="Calibri"/>
          <w:color w:val="000000"/>
          <w:lang w:val="it-IT"/>
        </w:rPr>
        <w:t>80% tra il 2020 e il 2025</w:t>
      </w:r>
      <w:r w:rsidR="0083261A">
        <w:rPr>
          <w:rFonts w:ascii="Oracle Sans" w:eastAsia="Times New Roman" w:hAnsi="Oracle Sans" w:cs="Calibri"/>
          <w:color w:val="000000"/>
          <w:lang w:val="it-IT"/>
        </w:rPr>
        <w:t xml:space="preserve"> e raggiungerà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quasi 1</w:t>
      </w:r>
      <w:r w:rsidR="00492E37">
        <w:rPr>
          <w:rFonts w:ascii="Oracle Sans" w:eastAsia="Times New Roman" w:hAnsi="Oracle Sans" w:cs="Calibri"/>
          <w:color w:val="000000"/>
          <w:lang w:val="it-IT"/>
        </w:rPr>
        <w:t>.900 miliardi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="00492E37">
        <w:rPr>
          <w:rFonts w:ascii="Oracle Sans" w:eastAsia="Times New Roman" w:hAnsi="Oracle Sans" w:cs="Calibri"/>
          <w:color w:val="000000"/>
          <w:lang w:val="it-IT"/>
        </w:rPr>
        <w:t>(1,9 “</w:t>
      </w:r>
      <w:r w:rsidR="007D0F20">
        <w:rPr>
          <w:rFonts w:ascii="Oracle Sans" w:eastAsia="Times New Roman" w:hAnsi="Oracle Sans" w:cs="Calibri"/>
          <w:color w:val="000000"/>
          <w:lang w:val="it-IT"/>
        </w:rPr>
        <w:t>tril</w:t>
      </w:r>
      <w:r w:rsidR="007D0F20" w:rsidRPr="003E72C2">
        <w:rPr>
          <w:rFonts w:ascii="Oracle Sans" w:eastAsia="Times New Roman" w:hAnsi="Oracle Sans" w:cs="Calibri"/>
          <w:color w:val="000000"/>
          <w:lang w:val="it-IT"/>
        </w:rPr>
        <w:t>ioni</w:t>
      </w:r>
      <w:r w:rsidR="00492E37">
        <w:rPr>
          <w:rFonts w:ascii="Oracle Sans" w:eastAsia="Times New Roman" w:hAnsi="Oracle Sans" w:cs="Calibri"/>
          <w:color w:val="000000"/>
          <w:lang w:val="it-IT"/>
        </w:rPr>
        <w:t>”)</w:t>
      </w:r>
      <w:r w:rsidR="007D0F20" w:rsidRPr="003E72C2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di transazioni. Oracle Banking Accounts Cloud Service 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permette di elaborare il conto di deposito a vista in modo altamente scalabile, su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Oracle Coherence Datagrid Infrastructure. Il servizio è stato testato per </w:t>
      </w:r>
      <w:r w:rsidR="007C10DD">
        <w:rPr>
          <w:rFonts w:ascii="Oracle Sans" w:eastAsia="Times New Roman" w:hAnsi="Oracle Sans" w:cs="Calibri"/>
          <w:color w:val="000000"/>
          <w:lang w:val="it-IT"/>
        </w:rPr>
        <w:t>garantire le</w:t>
      </w:r>
      <w:r w:rsidR="007C10DD" w:rsidRPr="003E72C2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Pr="005E1FD9">
        <w:rPr>
          <w:rFonts w:ascii="Oracle Sans" w:eastAsia="Times New Roman" w:hAnsi="Oracle Sans" w:cs="Calibri"/>
          <w:i/>
          <w:iCs/>
          <w:color w:val="000000"/>
          <w:lang w:val="it-IT"/>
        </w:rPr>
        <w:t>p</w:t>
      </w:r>
      <w:r w:rsidR="005E1FD9" w:rsidRPr="005E1FD9">
        <w:rPr>
          <w:rFonts w:ascii="Oracle Sans" w:eastAsia="Times New Roman" w:hAnsi="Oracle Sans" w:cs="Calibri"/>
          <w:i/>
          <w:iCs/>
          <w:color w:val="000000"/>
          <w:lang w:val="it-IT"/>
        </w:rPr>
        <w:t>erformance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più </w:t>
      </w:r>
      <w:r w:rsidR="00307090">
        <w:rPr>
          <w:rFonts w:ascii="Oracle Sans" w:eastAsia="Times New Roman" w:hAnsi="Oracle Sans" w:cs="Calibri"/>
          <w:color w:val="000000"/>
          <w:lang w:val="it-IT"/>
        </w:rPr>
        <w:t xml:space="preserve">elevate </w:t>
      </w:r>
      <w:r w:rsidRPr="003E72C2">
        <w:rPr>
          <w:rFonts w:ascii="Oracle Sans" w:eastAsia="Times New Roman" w:hAnsi="Oracle Sans" w:cs="Calibri"/>
          <w:color w:val="000000"/>
          <w:lang w:val="it-IT"/>
        </w:rPr>
        <w:t>e ha registrato oltre 200 TPS per CPU</w:t>
      </w:r>
      <w:r w:rsidR="005836EC">
        <w:rPr>
          <w:rFonts w:ascii="Oracle Sans" w:eastAsia="Times New Roman" w:hAnsi="Oracle Sans" w:cs="Calibri"/>
          <w:color w:val="000000"/>
          <w:lang w:val="it-IT"/>
        </w:rPr>
        <w:t xml:space="preserve"> (</w:t>
      </w:r>
      <w:r w:rsidR="005E1FD9">
        <w:rPr>
          <w:rFonts w:ascii="Oracle Sans" w:eastAsia="Times New Roman" w:hAnsi="Oracle Sans" w:cs="Calibri"/>
          <w:color w:val="000000"/>
          <w:lang w:val="it-IT"/>
        </w:rPr>
        <w:t xml:space="preserve">anche </w:t>
      </w:r>
      <w:r w:rsidR="005836EC">
        <w:rPr>
          <w:rFonts w:ascii="Oracle Sans" w:eastAsia="Times New Roman" w:hAnsi="Oracle Sans" w:cs="Calibri"/>
          <w:color w:val="000000"/>
          <w:lang w:val="it-IT"/>
        </w:rPr>
        <w:t xml:space="preserve">su </w:t>
      </w:r>
      <w:r w:rsidR="005836EC" w:rsidRPr="005836EC">
        <w:rPr>
          <w:rFonts w:ascii="Oracle Sans" w:eastAsia="Times New Roman" w:hAnsi="Oracle Sans" w:cs="Calibri"/>
          <w:i/>
          <w:iCs/>
          <w:color w:val="000000"/>
          <w:lang w:val="it-IT"/>
        </w:rPr>
        <w:t xml:space="preserve">device </w:t>
      </w:r>
      <w:r w:rsidR="005836EC">
        <w:rPr>
          <w:rFonts w:ascii="Oracle Sans" w:eastAsia="Times New Roman" w:hAnsi="Oracle Sans" w:cs="Calibri"/>
          <w:color w:val="000000"/>
          <w:lang w:val="it-IT"/>
        </w:rPr>
        <w:t xml:space="preserve">di </w:t>
      </w:r>
      <w:r w:rsidR="005E1FD9">
        <w:rPr>
          <w:rFonts w:ascii="Oracle Sans" w:eastAsia="Times New Roman" w:hAnsi="Oracle Sans" w:cs="Calibri"/>
          <w:color w:val="000000"/>
          <w:lang w:val="it-IT"/>
        </w:rPr>
        <w:t xml:space="preserve">medie </w:t>
      </w:r>
      <w:r w:rsidR="005836EC">
        <w:rPr>
          <w:rFonts w:ascii="Oracle Sans" w:eastAsia="Times New Roman" w:hAnsi="Oracle Sans" w:cs="Calibri"/>
          <w:color w:val="000000"/>
          <w:lang w:val="it-IT"/>
        </w:rPr>
        <w:t>prestazioni).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Si integr</w:t>
      </w:r>
      <w:r w:rsidR="005E1FD9">
        <w:rPr>
          <w:rFonts w:ascii="Oracle Sans" w:eastAsia="Times New Roman" w:hAnsi="Oracle Sans" w:cs="Calibri"/>
          <w:color w:val="000000"/>
          <w:lang w:val="it-IT"/>
        </w:rPr>
        <w:t xml:space="preserve">a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con i flussi di processo e le tecnologie preesistenti delle banche, </w:t>
      </w:r>
      <w:r w:rsidR="005E1FD9">
        <w:rPr>
          <w:rFonts w:ascii="Oracle Sans" w:eastAsia="Times New Roman" w:hAnsi="Oracle Sans" w:cs="Calibri"/>
          <w:color w:val="000000"/>
          <w:lang w:val="it-IT"/>
        </w:rPr>
        <w:t xml:space="preserve">per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modernizzare i sistemi DDA di core banking </w:t>
      </w:r>
      <w:r w:rsidR="005E1FD9">
        <w:rPr>
          <w:rFonts w:ascii="Oracle Sans" w:eastAsia="Times New Roman" w:hAnsi="Oracle Sans" w:cs="Calibri"/>
          <w:color w:val="000000"/>
          <w:lang w:val="it-IT"/>
        </w:rPr>
        <w:t>e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="00B54A62">
        <w:rPr>
          <w:rFonts w:ascii="Oracle Sans" w:eastAsia="Times New Roman" w:hAnsi="Oracle Sans" w:cs="Calibri"/>
          <w:color w:val="000000"/>
          <w:lang w:val="it-IT"/>
        </w:rPr>
        <w:t>offrire</w:t>
      </w:r>
      <w:r w:rsidR="00B54A62" w:rsidRPr="003E72C2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nuove </w:t>
      </w:r>
      <w:r w:rsidR="00B54A62">
        <w:rPr>
          <w:rFonts w:ascii="Oracle Sans" w:eastAsia="Times New Roman" w:hAnsi="Oracle Sans" w:cs="Calibri"/>
          <w:color w:val="000000"/>
          <w:lang w:val="it-IT"/>
        </w:rPr>
        <w:t>soluzioni ai clienti</w:t>
      </w:r>
      <w:r w:rsidR="005E1FD9">
        <w:rPr>
          <w:rFonts w:ascii="Oracle Sans" w:eastAsia="Times New Roman" w:hAnsi="Oracle Sans" w:cs="Calibri"/>
          <w:color w:val="000000"/>
          <w:lang w:val="it-IT"/>
        </w:rPr>
        <w:t>,</w:t>
      </w:r>
      <w:r w:rsidR="00B54A62" w:rsidRPr="003E72C2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senza però causare problemi </w:t>
      </w:r>
      <w:r w:rsidR="007C10DD">
        <w:rPr>
          <w:rFonts w:ascii="Oracle Sans" w:eastAsia="Times New Roman" w:hAnsi="Oracle Sans" w:cs="Calibri"/>
          <w:color w:val="000000"/>
          <w:lang w:val="it-IT"/>
        </w:rPr>
        <w:t>all’operatività.</w:t>
      </w:r>
    </w:p>
    <w:p w14:paraId="57600CB9" w14:textId="77777777" w:rsidR="005938B6" w:rsidRPr="003E72C2" w:rsidRDefault="005938B6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1AD4F74A" w14:textId="697DB455" w:rsidR="005938B6" w:rsidRPr="003E72C2" w:rsidRDefault="00080BD2" w:rsidP="006F7D07">
      <w:pPr>
        <w:pStyle w:val="P68B1DB1-Normal5"/>
        <w:numPr>
          <w:ilvl w:val="0"/>
          <w:numId w:val="4"/>
        </w:numPr>
        <w:jc w:val="both"/>
        <w:rPr>
          <w:lang w:val="it-IT"/>
        </w:rPr>
      </w:pPr>
      <w:r w:rsidRPr="003E72C2">
        <w:rPr>
          <w:lang w:val="it-IT"/>
        </w:rPr>
        <w:t xml:space="preserve">Oracle Banking Payments Cloud Service </w:t>
      </w:r>
    </w:p>
    <w:p w14:paraId="771FA2CD" w14:textId="7F1CBA9F" w:rsidR="005938B6" w:rsidRPr="003E72C2" w:rsidRDefault="00080BD2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  <w:r w:rsidRPr="003E72C2">
        <w:rPr>
          <w:rFonts w:ascii="Oracle Sans" w:hAnsi="Oracle Sans"/>
          <w:color w:val="000000"/>
          <w:lang w:val="it-IT"/>
        </w:rPr>
        <w:t xml:space="preserve">I sistemi legacy non sono in grado né di dimensionarsi né di gestire il volume e la velocità </w:t>
      </w:r>
      <w:r w:rsidR="0083549D">
        <w:rPr>
          <w:rFonts w:ascii="Oracle Sans" w:hAnsi="Oracle Sans"/>
          <w:color w:val="000000"/>
          <w:lang w:val="it-IT"/>
        </w:rPr>
        <w:t>di</w:t>
      </w:r>
      <w:r w:rsidRPr="003E72C2">
        <w:rPr>
          <w:rFonts w:ascii="Oracle Sans" w:hAnsi="Oracle Sans"/>
          <w:color w:val="000000"/>
          <w:lang w:val="it-IT"/>
        </w:rPr>
        <w:t xml:space="preserve"> crescita dei pagamenti digitali provenienti dall'e-commerce e dai nuovi tipi di transazioni. Oracle Banking Payments fornisce un unico motore per l'elaborazione dei pagamenti in tempo reale, </w:t>
      </w:r>
      <w:r w:rsidR="006F7D07">
        <w:rPr>
          <w:rFonts w:ascii="Oracle Sans" w:hAnsi="Oracle Sans"/>
          <w:color w:val="000000"/>
          <w:lang w:val="it-IT"/>
        </w:rPr>
        <w:t>tra cui</w:t>
      </w:r>
      <w:r w:rsidRPr="003E72C2">
        <w:rPr>
          <w:rFonts w:ascii="Oracle Sans" w:hAnsi="Oracle Sans"/>
          <w:color w:val="000000"/>
          <w:lang w:val="it-IT"/>
        </w:rPr>
        <w:t xml:space="preserve"> pagamenti </w:t>
      </w:r>
      <w:r w:rsidRPr="003E72C2">
        <w:rPr>
          <w:rFonts w:ascii="Oracle Sans" w:eastAsia="Times New Roman" w:hAnsi="Oracle Sans" w:cs="Calibri"/>
          <w:lang w:val="it-IT"/>
        </w:rPr>
        <w:t xml:space="preserve">transfrontalieri, </w:t>
      </w:r>
      <w:r w:rsidR="00376A38">
        <w:rPr>
          <w:rFonts w:ascii="Oracle Sans" w:eastAsia="Times New Roman" w:hAnsi="Oracle Sans" w:cs="Calibri"/>
          <w:color w:val="000000"/>
          <w:lang w:val="it-IT"/>
        </w:rPr>
        <w:t>di importo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elevato, in blocco, retail e 24 ore su 24, 7 giorni su 7. Il servizio è stato costruito da zero sulla base di un modello di dati canonico ISO</w:t>
      </w:r>
      <w:r w:rsidR="006F7D07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Pr="003E72C2">
        <w:rPr>
          <w:rFonts w:ascii="Oracle Sans" w:eastAsia="Times New Roman" w:hAnsi="Oracle Sans" w:cs="Calibri"/>
          <w:color w:val="000000"/>
          <w:lang w:val="it-IT"/>
        </w:rPr>
        <w:t>20022 e di</w:t>
      </w:r>
      <w:r w:rsidR="00565DE0">
        <w:rPr>
          <w:rFonts w:ascii="Oracle Sans" w:eastAsia="Times New Roman" w:hAnsi="Oracle Sans" w:cs="Calibri"/>
          <w:color w:val="000000"/>
          <w:lang w:val="it-IT"/>
        </w:rPr>
        <w:t xml:space="preserve"> oltre</w:t>
      </w:r>
      <w:r w:rsidRPr="003E72C2">
        <w:rPr>
          <w:rFonts w:ascii="Oracle Sans" w:eastAsia="Times New Roman" w:hAnsi="Oracle Sans" w:cs="Calibri"/>
          <w:color w:val="000000"/>
          <w:lang w:val="it-IT"/>
        </w:rPr>
        <w:t xml:space="preserve"> 15 dei principali schemi di pagamento globali quali SWIFT, SEPA e altri.</w:t>
      </w:r>
    </w:p>
    <w:p w14:paraId="5A10650C" w14:textId="77777777" w:rsidR="005938B6" w:rsidRPr="003E72C2" w:rsidRDefault="005938B6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45B58DC6" w14:textId="77777777" w:rsidR="006F7D07" w:rsidRDefault="006F7D07" w:rsidP="001E17F1">
      <w:pPr>
        <w:pStyle w:val="P68B1DB1-Normal5"/>
        <w:jc w:val="both"/>
        <w:rPr>
          <w:bCs/>
          <w:lang w:val="it-IT"/>
        </w:rPr>
      </w:pPr>
      <w:r>
        <w:rPr>
          <w:bCs/>
          <w:lang w:val="it-IT"/>
        </w:rPr>
        <w:t xml:space="preserve">3. </w:t>
      </w:r>
      <w:r w:rsidR="00080BD2" w:rsidRPr="000052D3">
        <w:rPr>
          <w:bCs/>
          <w:lang w:val="it-IT"/>
        </w:rPr>
        <w:t>Oracle Banking Enterprise Limits and Collateral Management Cloud Service</w:t>
      </w:r>
      <w:r w:rsidR="000052D3">
        <w:rPr>
          <w:bCs/>
          <w:lang w:val="it-IT"/>
        </w:rPr>
        <w:t xml:space="preserve"> </w:t>
      </w:r>
    </w:p>
    <w:p w14:paraId="2A351A6B" w14:textId="1BCF0A40" w:rsidR="005938B6" w:rsidRPr="000052D3" w:rsidRDefault="000052D3" w:rsidP="001E17F1">
      <w:pPr>
        <w:pStyle w:val="P68B1DB1-Normal5"/>
        <w:jc w:val="both"/>
        <w:rPr>
          <w:b w:val="0"/>
          <w:bCs/>
          <w:lang w:val="it-IT"/>
        </w:rPr>
      </w:pPr>
      <w:r w:rsidRPr="000052D3">
        <w:rPr>
          <w:b w:val="0"/>
          <w:lang w:val="it-IT"/>
        </w:rPr>
        <w:t>I</w:t>
      </w:r>
      <w:r w:rsidR="007C10DD" w:rsidRPr="000052D3">
        <w:rPr>
          <w:b w:val="0"/>
          <w:lang w:val="it-IT"/>
        </w:rPr>
        <w:t xml:space="preserve">n mancanza di un sistema disponibile a livello aziendale e a causa di un monitoraggio inefficiente e di controlli insufficienti, </w:t>
      </w:r>
      <w:r w:rsidR="00080BD2" w:rsidRPr="000052D3">
        <w:rPr>
          <w:b w:val="0"/>
          <w:bCs/>
          <w:lang w:val="it-IT"/>
        </w:rPr>
        <w:t xml:space="preserve">le banche </w:t>
      </w:r>
      <w:r w:rsidR="005460E6" w:rsidRPr="005460E6">
        <w:rPr>
          <w:b w:val="0"/>
          <w:bCs/>
          <w:i/>
          <w:iCs/>
          <w:lang w:val="it-IT"/>
        </w:rPr>
        <w:t>corporate</w:t>
      </w:r>
      <w:r w:rsidR="00D50AE4" w:rsidRPr="000052D3">
        <w:rPr>
          <w:b w:val="0"/>
          <w:bCs/>
          <w:lang w:val="it-IT"/>
        </w:rPr>
        <w:t xml:space="preserve"> </w:t>
      </w:r>
      <w:r w:rsidR="00080BD2" w:rsidRPr="000052D3">
        <w:rPr>
          <w:b w:val="0"/>
          <w:bCs/>
          <w:lang w:val="it-IT"/>
        </w:rPr>
        <w:t xml:space="preserve">hanno difficoltà a gestire il flusso di insolvenze. </w:t>
      </w:r>
      <w:hyperlink r:id="rId7" w:history="1">
        <w:r w:rsidR="00080BD2" w:rsidRPr="000052D3">
          <w:rPr>
            <w:rStyle w:val="Collegamentoipertestuale"/>
            <w:b w:val="0"/>
            <w:bCs/>
            <w:lang w:val="it-IT"/>
          </w:rPr>
          <w:t>McKinsey</w:t>
        </w:r>
      </w:hyperlink>
      <w:r w:rsidR="00080BD2" w:rsidRPr="000052D3">
        <w:rPr>
          <w:b w:val="0"/>
          <w:bCs/>
          <w:lang w:val="it-IT"/>
        </w:rPr>
        <w:t xml:space="preserve"> stima che </w:t>
      </w:r>
      <w:r w:rsidR="00285426">
        <w:rPr>
          <w:b w:val="0"/>
          <w:bCs/>
          <w:lang w:val="it-IT"/>
        </w:rPr>
        <w:t xml:space="preserve">se </w:t>
      </w:r>
      <w:r w:rsidR="00080BD2" w:rsidRPr="000052D3">
        <w:rPr>
          <w:b w:val="0"/>
          <w:bCs/>
          <w:lang w:val="it-IT"/>
        </w:rPr>
        <w:t xml:space="preserve">le banche </w:t>
      </w:r>
      <w:r w:rsidR="007C10DD" w:rsidRPr="000052D3">
        <w:rPr>
          <w:b w:val="0"/>
          <w:bCs/>
          <w:lang w:val="it-IT"/>
        </w:rPr>
        <w:t>utilizzassero modelli migliorati per questo tipo di attivit</w:t>
      </w:r>
      <w:r w:rsidR="00285426">
        <w:rPr>
          <w:b w:val="0"/>
          <w:bCs/>
          <w:lang w:val="it-IT"/>
        </w:rPr>
        <w:t>à</w:t>
      </w:r>
      <w:r w:rsidR="00080BD2" w:rsidRPr="000052D3">
        <w:rPr>
          <w:b w:val="0"/>
          <w:bCs/>
          <w:lang w:val="it-IT"/>
        </w:rPr>
        <w:t xml:space="preserve"> potrebbero ridurre del </w:t>
      </w:r>
      <w:r w:rsidR="005460E6">
        <w:rPr>
          <w:b w:val="0"/>
          <w:bCs/>
          <w:lang w:val="it-IT"/>
        </w:rPr>
        <w:t>-</w:t>
      </w:r>
      <w:r w:rsidR="00080BD2" w:rsidRPr="000052D3">
        <w:rPr>
          <w:b w:val="0"/>
          <w:bCs/>
          <w:lang w:val="it-IT"/>
        </w:rPr>
        <w:t xml:space="preserve">20-40% le perdite di credito. Oracle Banking Enterprise Limits and Collateral Management permette </w:t>
      </w:r>
      <w:r w:rsidR="007C10DD" w:rsidRPr="000052D3">
        <w:rPr>
          <w:b w:val="0"/>
          <w:bCs/>
          <w:lang w:val="it-IT"/>
        </w:rPr>
        <w:t>agli istituti finanziari</w:t>
      </w:r>
      <w:r w:rsidR="00080BD2" w:rsidRPr="000052D3">
        <w:rPr>
          <w:b w:val="0"/>
          <w:bCs/>
          <w:lang w:val="it-IT"/>
        </w:rPr>
        <w:t xml:space="preserve"> di ottenere una visione olistica della </w:t>
      </w:r>
      <w:r w:rsidR="009D18DC" w:rsidRPr="000052D3">
        <w:rPr>
          <w:b w:val="0"/>
          <w:bCs/>
          <w:lang w:val="it-IT"/>
        </w:rPr>
        <w:t xml:space="preserve">propria </w:t>
      </w:r>
      <w:r w:rsidR="00080BD2" w:rsidRPr="000052D3">
        <w:rPr>
          <w:b w:val="0"/>
          <w:bCs/>
          <w:lang w:val="it-IT"/>
        </w:rPr>
        <w:t>esposizione</w:t>
      </w:r>
      <w:r w:rsidR="007C10DD" w:rsidRPr="000052D3">
        <w:rPr>
          <w:b w:val="0"/>
          <w:bCs/>
          <w:lang w:val="it-IT"/>
        </w:rPr>
        <w:t>,</w:t>
      </w:r>
      <w:r w:rsidR="00080BD2" w:rsidRPr="000052D3">
        <w:rPr>
          <w:b w:val="0"/>
          <w:bCs/>
          <w:lang w:val="it-IT"/>
        </w:rPr>
        <w:t xml:space="preserve"> centralizzando il processo di definizione dei limiti e la gestione delle garanzie. Il servizio riduce i rischi fornendo alle banche una soluzione in tempo reale per il monitoraggio di esposizioni, sottoscrizioni del credito, decisioni e approvazioni.</w:t>
      </w:r>
    </w:p>
    <w:p w14:paraId="6DDE86DC" w14:textId="37D04F6B" w:rsidR="00020BCE" w:rsidRDefault="00020BCE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4D83999B" w14:textId="142E0EEC" w:rsidR="00020BCE" w:rsidRPr="005460E6" w:rsidRDefault="00020BCE" w:rsidP="005460E6">
      <w:pPr>
        <w:pStyle w:val="Paragrafoelenco"/>
        <w:numPr>
          <w:ilvl w:val="0"/>
          <w:numId w:val="5"/>
        </w:numPr>
        <w:jc w:val="both"/>
        <w:rPr>
          <w:rFonts w:ascii="Oracle Sans" w:eastAsia="Times New Roman" w:hAnsi="Oracle Sans" w:cs="Calibri"/>
          <w:b/>
          <w:bCs/>
          <w:color w:val="000000"/>
          <w:lang w:val="it-IT"/>
        </w:rPr>
      </w:pPr>
      <w:r w:rsidRPr="005460E6">
        <w:rPr>
          <w:rFonts w:ascii="Oracle Sans" w:eastAsia="Times New Roman" w:hAnsi="Oracle Sans" w:cs="Calibri"/>
          <w:b/>
          <w:bCs/>
          <w:color w:val="000000"/>
          <w:lang w:val="it-IT"/>
        </w:rPr>
        <w:t>Oracle Banking Origination Cloud Service</w:t>
      </w:r>
    </w:p>
    <w:p w14:paraId="208010C2" w14:textId="01B64252" w:rsidR="009A559A" w:rsidRDefault="00DE4E30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  <w:r w:rsidRPr="000052D3">
        <w:rPr>
          <w:rFonts w:ascii="Oracle Sans" w:eastAsia="Times New Roman" w:hAnsi="Oracle Sans" w:cs="Calibri"/>
          <w:color w:val="000000"/>
          <w:lang w:val="it-IT"/>
        </w:rPr>
        <w:t xml:space="preserve">Oggi </w:t>
      </w:r>
      <w:r w:rsidR="007C10DD">
        <w:rPr>
          <w:rFonts w:ascii="Oracle Sans" w:eastAsia="Times New Roman" w:hAnsi="Oracle Sans" w:cs="Calibri"/>
          <w:color w:val="000000"/>
          <w:lang w:val="it-IT"/>
        </w:rPr>
        <w:t>l’aspettativa di avere una</w:t>
      </w:r>
      <w:r w:rsidRPr="000052D3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="005460E6">
        <w:rPr>
          <w:rFonts w:ascii="Oracle Sans" w:eastAsia="Times New Roman" w:hAnsi="Oracle Sans" w:cs="Calibri"/>
          <w:color w:val="000000"/>
          <w:lang w:val="it-IT"/>
        </w:rPr>
        <w:t>risposta</w:t>
      </w:r>
      <w:r w:rsidRPr="000052D3">
        <w:rPr>
          <w:rFonts w:ascii="Oracle Sans" w:eastAsia="Times New Roman" w:hAnsi="Oracle Sans" w:cs="Calibri"/>
          <w:color w:val="000000"/>
          <w:lang w:val="it-IT"/>
        </w:rPr>
        <w:t xml:space="preserve"> istantanea sta ridefinendo l'attivit</w:t>
      </w:r>
      <w:r w:rsidRPr="000052D3">
        <w:rPr>
          <w:rFonts w:ascii="Oracle Sans" w:eastAsia="Times New Roman" w:hAnsi="Oracle Sans" w:cs="Calibri" w:hint="eastAsia"/>
          <w:color w:val="000000"/>
          <w:lang w:val="it-IT"/>
        </w:rPr>
        <w:t>à</w:t>
      </w:r>
      <w:r w:rsidRPr="000052D3">
        <w:rPr>
          <w:rFonts w:ascii="Oracle Sans" w:eastAsia="Times New Roman" w:hAnsi="Oracle Sans" w:cs="Calibri"/>
          <w:color w:val="000000"/>
          <w:lang w:val="it-IT"/>
        </w:rPr>
        <w:t xml:space="preserve"> bancaria: i clienti si 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attendono </w:t>
      </w:r>
      <w:r w:rsidRPr="000052D3">
        <w:rPr>
          <w:rFonts w:ascii="Oracle Sans" w:eastAsia="Times New Roman" w:hAnsi="Oracle Sans" w:cs="Calibri"/>
          <w:color w:val="000000"/>
          <w:lang w:val="it-IT"/>
        </w:rPr>
        <w:t xml:space="preserve">che i conti vengano aperti rapidamente, i prestiti </w:t>
      </w:r>
      <w:r>
        <w:rPr>
          <w:rFonts w:ascii="Oracle Sans" w:eastAsia="Times New Roman" w:hAnsi="Oracle Sans" w:cs="Calibri"/>
          <w:color w:val="000000"/>
          <w:lang w:val="it-IT"/>
        </w:rPr>
        <w:t>concessi</w:t>
      </w:r>
      <w:r w:rsidRPr="000052D3">
        <w:rPr>
          <w:rFonts w:ascii="Oracle Sans" w:eastAsia="Times New Roman" w:hAnsi="Oracle Sans" w:cs="Calibri"/>
          <w:color w:val="000000"/>
          <w:lang w:val="it-IT"/>
        </w:rPr>
        <w:t xml:space="preserve"> in pochi minuti e i contanti erogati in poche ore, il tutto con un elevato livello di trasparenza.</w:t>
      </w:r>
      <w:r w:rsidR="00020CF3">
        <w:rPr>
          <w:rFonts w:ascii="Oracle Sans" w:eastAsia="Times New Roman" w:hAnsi="Oracle Sans" w:cs="Calibri"/>
          <w:color w:val="000000"/>
          <w:lang w:val="it-IT"/>
        </w:rPr>
        <w:t xml:space="preserve"> </w:t>
      </w:r>
      <w:r w:rsidR="00020CF3" w:rsidRPr="00020CF3">
        <w:rPr>
          <w:rFonts w:ascii="Oracle Sans" w:eastAsia="Times New Roman" w:hAnsi="Oracle Sans" w:cs="Calibri"/>
          <w:color w:val="000000"/>
          <w:lang w:val="it-IT"/>
        </w:rPr>
        <w:t xml:space="preserve">Oracle Banking Origination offre processi semplificati e 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strumenti decisionali </w:t>
      </w:r>
      <w:r w:rsidR="00020CF3" w:rsidRPr="00020CF3">
        <w:rPr>
          <w:rFonts w:ascii="Oracle Sans" w:eastAsia="Times New Roman" w:hAnsi="Oracle Sans" w:cs="Calibri"/>
          <w:color w:val="000000"/>
          <w:lang w:val="it-IT"/>
        </w:rPr>
        <w:t>automatizzat</w:t>
      </w:r>
      <w:r w:rsidR="007C10DD">
        <w:rPr>
          <w:rFonts w:ascii="Oracle Sans" w:eastAsia="Times New Roman" w:hAnsi="Oracle Sans" w:cs="Calibri"/>
          <w:color w:val="000000"/>
          <w:lang w:val="it-IT"/>
        </w:rPr>
        <w:t>i</w:t>
      </w:r>
      <w:r w:rsidR="00020CF3" w:rsidRPr="00020CF3">
        <w:rPr>
          <w:rFonts w:ascii="Oracle Sans" w:eastAsia="Times New Roman" w:hAnsi="Oracle Sans" w:cs="Calibri"/>
          <w:color w:val="000000"/>
          <w:lang w:val="it-IT"/>
        </w:rPr>
        <w:t xml:space="preserve"> che </w:t>
      </w:r>
      <w:r w:rsidR="007C10DD">
        <w:rPr>
          <w:rFonts w:ascii="Oracle Sans" w:eastAsia="Times New Roman" w:hAnsi="Oracle Sans" w:cs="Calibri"/>
          <w:color w:val="000000"/>
          <w:lang w:val="it-IT"/>
        </w:rPr>
        <w:t>aiutano le banche ad</w:t>
      </w:r>
      <w:r w:rsidR="00020CF3" w:rsidRPr="00020CF3">
        <w:rPr>
          <w:rFonts w:ascii="Oracle Sans" w:eastAsia="Times New Roman" w:hAnsi="Oracle Sans" w:cs="Calibri"/>
          <w:color w:val="000000"/>
          <w:lang w:val="it-IT"/>
        </w:rPr>
        <w:t xml:space="preserve"> offrir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e ai clienti </w:t>
      </w:r>
      <w:r w:rsidR="007C10DD" w:rsidRPr="005460E6">
        <w:rPr>
          <w:rFonts w:ascii="Oracle Sans" w:eastAsia="Times New Roman" w:hAnsi="Oracle Sans" w:cs="Calibri"/>
          <w:i/>
          <w:iCs/>
          <w:color w:val="000000"/>
          <w:lang w:val="it-IT"/>
        </w:rPr>
        <w:t>retail</w:t>
      </w:r>
      <w:r w:rsidR="007C10DD">
        <w:rPr>
          <w:rFonts w:ascii="Oracle Sans" w:eastAsia="Times New Roman" w:hAnsi="Oracle Sans" w:cs="Calibri"/>
          <w:color w:val="000000"/>
          <w:lang w:val="it-IT"/>
        </w:rPr>
        <w:t xml:space="preserve"> e alle piccole imprese un’esperienza </w:t>
      </w:r>
      <w:r w:rsidR="009A559A">
        <w:rPr>
          <w:rFonts w:ascii="Oracle Sans" w:eastAsia="Times New Roman" w:hAnsi="Oracle Sans" w:cs="Calibri"/>
          <w:color w:val="000000"/>
          <w:lang w:val="it-IT"/>
        </w:rPr>
        <w:t>fatta su misura per loro nelle fasi di riconoscimento e di istruttoria</w:t>
      </w:r>
      <w:r w:rsidR="005460E6">
        <w:rPr>
          <w:rFonts w:ascii="Oracle Sans" w:eastAsia="Times New Roman" w:hAnsi="Oracle Sans" w:cs="Calibri"/>
          <w:color w:val="000000"/>
          <w:lang w:val="it-IT"/>
        </w:rPr>
        <w:t xml:space="preserve"> per la concessione dei crediti</w:t>
      </w:r>
      <w:r w:rsidR="009A559A">
        <w:rPr>
          <w:rFonts w:ascii="Oracle Sans" w:eastAsia="Times New Roman" w:hAnsi="Oracle Sans" w:cs="Calibri"/>
          <w:color w:val="000000"/>
          <w:lang w:val="it-IT"/>
        </w:rPr>
        <w:t xml:space="preserve">. </w:t>
      </w:r>
      <w:r w:rsidR="00EA73C6" w:rsidRPr="00EA73C6">
        <w:rPr>
          <w:rFonts w:ascii="Oracle Sans" w:eastAsia="Times New Roman" w:hAnsi="Oracle Sans" w:cs="Calibri"/>
          <w:color w:val="000000"/>
          <w:lang w:val="it-IT"/>
        </w:rPr>
        <w:t xml:space="preserve">Grazie a questo servizio, le banche possono </w:t>
      </w:r>
      <w:r w:rsidR="009A559A">
        <w:rPr>
          <w:rFonts w:ascii="Oracle Sans" w:eastAsia="Times New Roman" w:hAnsi="Oracle Sans" w:cs="Calibri"/>
          <w:color w:val="000000"/>
          <w:lang w:val="it-IT"/>
        </w:rPr>
        <w:t>scalare questi processi tra attività di vendita al dettaglio e</w:t>
      </w:r>
      <w:r w:rsidR="000052D3">
        <w:rPr>
          <w:rFonts w:ascii="Oracle Sans" w:eastAsia="Times New Roman" w:hAnsi="Oracle Sans" w:cs="Calibri"/>
          <w:color w:val="000000"/>
          <w:lang w:val="it-IT"/>
        </w:rPr>
        <w:t xml:space="preserve"> attività di business</w:t>
      </w:r>
      <w:r w:rsidR="009A559A">
        <w:rPr>
          <w:rFonts w:ascii="Oracle Sans" w:eastAsia="Times New Roman" w:hAnsi="Oracle Sans" w:cs="Calibri"/>
          <w:color w:val="000000"/>
          <w:lang w:val="it-IT"/>
        </w:rPr>
        <w:t xml:space="preserve"> liability, per aumentare in modo efficiente i volumi di deposito e credito.</w:t>
      </w:r>
    </w:p>
    <w:p w14:paraId="541F4667" w14:textId="4EDCB169" w:rsidR="005938B6" w:rsidRPr="000052D3" w:rsidRDefault="005938B6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4E8044B9" w14:textId="64582C0F" w:rsidR="005938B6" w:rsidRPr="000052D3" w:rsidRDefault="00080BD2" w:rsidP="005460E6">
      <w:pPr>
        <w:pStyle w:val="P68B1DB1-Normal5"/>
        <w:numPr>
          <w:ilvl w:val="0"/>
          <w:numId w:val="5"/>
        </w:numPr>
        <w:jc w:val="both"/>
      </w:pPr>
      <w:r w:rsidRPr="000052D3">
        <w:t xml:space="preserve">Oracle Banking Digital Experience Cloud Service </w:t>
      </w:r>
    </w:p>
    <w:p w14:paraId="29D95150" w14:textId="42E46CC1" w:rsidR="005938B6" w:rsidRPr="003E72C2" w:rsidRDefault="00080BD2" w:rsidP="001E17F1">
      <w:pPr>
        <w:pStyle w:val="P68B1DB1-Normal6"/>
        <w:jc w:val="both"/>
        <w:rPr>
          <w:rFonts w:eastAsia="Times New Roman" w:cs="Calibri"/>
          <w:lang w:val="it-IT"/>
        </w:rPr>
      </w:pPr>
      <w:r w:rsidRPr="003E72C2">
        <w:rPr>
          <w:lang w:val="it-IT"/>
        </w:rPr>
        <w:t>Oracle Banking Digital Experience Cloud Service è una soluzione di digital banking che</w:t>
      </w:r>
      <w:r w:rsidR="00957507">
        <w:rPr>
          <w:lang w:val="it-IT"/>
        </w:rPr>
        <w:t xml:space="preserve"> permette</w:t>
      </w:r>
      <w:r w:rsidRPr="003E72C2">
        <w:rPr>
          <w:lang w:val="it-IT"/>
        </w:rPr>
        <w:t xml:space="preserve"> esperienze </w:t>
      </w:r>
      <w:r w:rsidR="00957507" w:rsidRPr="003E72C2">
        <w:rPr>
          <w:lang w:val="it-IT"/>
        </w:rPr>
        <w:t xml:space="preserve">ottimizzate per </w:t>
      </w:r>
      <w:r w:rsidR="00957507">
        <w:rPr>
          <w:lang w:val="it-IT"/>
        </w:rPr>
        <w:t>le esigenze del servizio clienti a</w:t>
      </w:r>
      <w:r w:rsidR="0052034F">
        <w:rPr>
          <w:lang w:val="it-IT"/>
        </w:rPr>
        <w:t xml:space="preserve"> </w:t>
      </w:r>
      <w:r w:rsidRPr="003E72C2">
        <w:rPr>
          <w:lang w:val="it-IT"/>
        </w:rPr>
        <w:t>banc</w:t>
      </w:r>
      <w:r w:rsidR="0052034F">
        <w:rPr>
          <w:lang w:val="it-IT"/>
        </w:rPr>
        <w:t>he</w:t>
      </w:r>
      <w:r w:rsidRPr="003E72C2">
        <w:rPr>
          <w:lang w:val="it-IT"/>
        </w:rPr>
        <w:t xml:space="preserve"> </w:t>
      </w:r>
      <w:r w:rsidR="00957507" w:rsidRPr="00957507">
        <w:rPr>
          <w:i/>
          <w:iCs/>
          <w:lang w:val="it-IT"/>
        </w:rPr>
        <w:t>corporate</w:t>
      </w:r>
      <w:r w:rsidR="0052034F">
        <w:rPr>
          <w:lang w:val="it-IT"/>
        </w:rPr>
        <w:t xml:space="preserve"> </w:t>
      </w:r>
      <w:r w:rsidRPr="003E72C2">
        <w:rPr>
          <w:lang w:val="it-IT"/>
        </w:rPr>
        <w:t xml:space="preserve">e </w:t>
      </w:r>
      <w:r w:rsidRPr="00957507">
        <w:rPr>
          <w:i/>
          <w:iCs/>
          <w:lang w:val="it-IT"/>
        </w:rPr>
        <w:t>retail</w:t>
      </w:r>
      <w:r w:rsidRPr="003E72C2">
        <w:rPr>
          <w:lang w:val="it-IT"/>
        </w:rPr>
        <w:t xml:space="preserve">. La soluzione fornisce funzionalità </w:t>
      </w:r>
      <w:r w:rsidR="000F5AC2">
        <w:rPr>
          <w:lang w:val="it-IT"/>
        </w:rPr>
        <w:t xml:space="preserve">per le attività di </w:t>
      </w:r>
      <w:r w:rsidRPr="003E72C2">
        <w:rPr>
          <w:lang w:val="it-IT"/>
        </w:rPr>
        <w:t>acquisizione di clienti</w:t>
      </w:r>
      <w:r w:rsidR="000F5AC2">
        <w:rPr>
          <w:lang w:val="it-IT"/>
        </w:rPr>
        <w:t>, per i</w:t>
      </w:r>
      <w:r w:rsidR="00F0394A">
        <w:rPr>
          <w:lang w:val="it-IT"/>
        </w:rPr>
        <w:t xml:space="preserve"> </w:t>
      </w:r>
      <w:r w:rsidRPr="003E72C2">
        <w:rPr>
          <w:lang w:val="it-IT"/>
        </w:rPr>
        <w:t>prodotti</w:t>
      </w:r>
      <w:r w:rsidR="000F5AC2">
        <w:rPr>
          <w:lang w:val="it-IT"/>
        </w:rPr>
        <w:t xml:space="preserve"> bancari; inoltre, mette a </w:t>
      </w:r>
      <w:r w:rsidR="000F5AC2">
        <w:rPr>
          <w:lang w:val="it-IT"/>
        </w:rPr>
        <w:lastRenderedPageBreak/>
        <w:t>disposizione esperienze</w:t>
      </w:r>
      <w:r w:rsidRPr="003E72C2">
        <w:rPr>
          <w:lang w:val="it-IT"/>
        </w:rPr>
        <w:t xml:space="preserve"> digitali contestuali omnicanale supportate da strumenti di coinvolgimento basati su video, chatbot, intelligenza artificiale ed elaborazione del linguaggio naturale (NLP</w:t>
      </w:r>
      <w:r w:rsidR="004C2C6B">
        <w:rPr>
          <w:lang w:val="it-IT"/>
        </w:rPr>
        <w:t>,</w:t>
      </w:r>
      <w:r w:rsidR="004C2C6B" w:rsidRPr="004C2C6B">
        <w:rPr>
          <w:lang w:val="it-IT"/>
        </w:rPr>
        <w:t xml:space="preserve"> </w:t>
      </w:r>
      <w:r w:rsidR="004C2C6B">
        <w:rPr>
          <w:lang w:val="it-IT"/>
        </w:rPr>
        <w:t>n</w:t>
      </w:r>
      <w:r w:rsidR="004C2C6B" w:rsidRPr="00EA28EE">
        <w:rPr>
          <w:lang w:val="it-IT"/>
        </w:rPr>
        <w:t>atural language processing</w:t>
      </w:r>
      <w:r w:rsidRPr="003E72C2">
        <w:rPr>
          <w:lang w:val="it-IT"/>
        </w:rPr>
        <w:t xml:space="preserve">). Il servizio funziona anche con la tecnologia pre-esistente </w:t>
      </w:r>
      <w:r w:rsidR="0024393F">
        <w:rPr>
          <w:lang w:val="it-IT"/>
        </w:rPr>
        <w:t>n</w:t>
      </w:r>
      <w:r w:rsidRPr="003E72C2">
        <w:rPr>
          <w:lang w:val="it-IT"/>
        </w:rPr>
        <w:t xml:space="preserve">elle banche </w:t>
      </w:r>
      <w:r w:rsidR="000F5AC2">
        <w:rPr>
          <w:lang w:val="it-IT"/>
        </w:rPr>
        <w:t xml:space="preserve">e con </w:t>
      </w:r>
      <w:r w:rsidRPr="003E72C2">
        <w:rPr>
          <w:lang w:val="it-IT"/>
        </w:rPr>
        <w:t>servizi di terze parti</w:t>
      </w:r>
      <w:r>
        <w:rPr>
          <w:lang w:val="it-IT"/>
        </w:rPr>
        <w:t xml:space="preserve"> con</w:t>
      </w:r>
      <w:r w:rsidRPr="003E72C2">
        <w:rPr>
          <w:lang w:val="it-IT"/>
        </w:rPr>
        <w:t xml:space="preserve"> </w:t>
      </w:r>
      <w:r w:rsidR="000F5AC2">
        <w:rPr>
          <w:lang w:val="it-IT"/>
        </w:rPr>
        <w:t xml:space="preserve">un’integrazione impeccabile dei processi. </w:t>
      </w:r>
    </w:p>
    <w:p w14:paraId="038EFABD" w14:textId="77777777" w:rsidR="005938B6" w:rsidRPr="003E72C2" w:rsidRDefault="005938B6" w:rsidP="001E17F1">
      <w:pPr>
        <w:jc w:val="both"/>
        <w:rPr>
          <w:rFonts w:ascii="Oracle Sans" w:eastAsia="Times New Roman" w:hAnsi="Oracle Sans" w:cs="Calibri"/>
          <w:color w:val="000000"/>
          <w:lang w:val="it-IT"/>
        </w:rPr>
      </w:pPr>
    </w:p>
    <w:p w14:paraId="0C4677BE" w14:textId="063AEBDC" w:rsidR="005938B6" w:rsidRPr="003E72C2" w:rsidRDefault="00080BD2" w:rsidP="00080BD2">
      <w:pPr>
        <w:pStyle w:val="P68B1DB1-Normal5"/>
        <w:numPr>
          <w:ilvl w:val="0"/>
          <w:numId w:val="5"/>
        </w:numPr>
        <w:jc w:val="both"/>
        <w:rPr>
          <w:lang w:val="it-IT"/>
        </w:rPr>
      </w:pPr>
      <w:r w:rsidRPr="003E72C2">
        <w:rPr>
          <w:lang w:val="it-IT"/>
        </w:rPr>
        <w:t xml:space="preserve">Oracle Banking APIs Cloud Service </w:t>
      </w:r>
    </w:p>
    <w:p w14:paraId="5165F34F" w14:textId="5600D3C9" w:rsidR="005938B6" w:rsidRPr="003E72C2" w:rsidRDefault="00080BD2" w:rsidP="001E17F1">
      <w:pPr>
        <w:pStyle w:val="P68B1DB1-Normal4"/>
        <w:jc w:val="both"/>
        <w:rPr>
          <w:lang w:val="it-IT"/>
        </w:rPr>
      </w:pPr>
      <w:r w:rsidRPr="003E72C2">
        <w:rPr>
          <w:lang w:val="it-IT"/>
        </w:rPr>
        <w:t xml:space="preserve">Con oltre 1.800 API bancarie </w:t>
      </w:r>
      <w:r w:rsidRPr="00640BFE">
        <w:rPr>
          <w:lang w:val="it-IT"/>
        </w:rPr>
        <w:t>di base</w:t>
      </w:r>
      <w:r w:rsidRPr="003E72C2">
        <w:rPr>
          <w:lang w:val="it-IT"/>
        </w:rPr>
        <w:t xml:space="preserve"> e </w:t>
      </w:r>
      <w:r w:rsidR="000F5AC2">
        <w:rPr>
          <w:lang w:val="it-IT"/>
        </w:rPr>
        <w:t>business</w:t>
      </w:r>
      <w:r w:rsidR="000F5AC2" w:rsidRPr="003E72C2">
        <w:rPr>
          <w:lang w:val="it-IT"/>
        </w:rPr>
        <w:t xml:space="preserve"> </w:t>
      </w:r>
      <w:r w:rsidRPr="003E72C2">
        <w:rPr>
          <w:lang w:val="it-IT"/>
        </w:rPr>
        <w:t>pronte per essere implementate, Oracle Banking APIs Cloud Service consente di creare una piattaforma aperta per accelerare l'innovazione</w:t>
      </w:r>
      <w:r w:rsidR="00DE7DD0">
        <w:rPr>
          <w:lang w:val="it-IT"/>
        </w:rPr>
        <w:t xml:space="preserve"> nel rispetto del</w:t>
      </w:r>
      <w:r w:rsidRPr="003E72C2">
        <w:rPr>
          <w:lang w:val="it-IT"/>
        </w:rPr>
        <w:t>le normative. La soluzione dà alle banche gli strumenti necessari per migliorare l</w:t>
      </w:r>
      <w:r w:rsidR="00C44422">
        <w:rPr>
          <w:lang w:val="it-IT"/>
        </w:rPr>
        <w:t>’esperienza del cliente</w:t>
      </w:r>
      <w:r w:rsidRPr="003E72C2">
        <w:rPr>
          <w:lang w:val="it-IT"/>
        </w:rPr>
        <w:t xml:space="preserve"> e le opportunità di ricavi integrando i propri servizi in un </w:t>
      </w:r>
      <w:r w:rsidR="00006EAF" w:rsidRPr="003E72C2">
        <w:rPr>
          <w:lang w:val="it-IT"/>
        </w:rPr>
        <w:t>ecosistema in crescita</w:t>
      </w:r>
      <w:r w:rsidRPr="003E72C2">
        <w:rPr>
          <w:lang w:val="it-IT"/>
        </w:rPr>
        <w:t xml:space="preserve">, </w:t>
      </w:r>
      <w:r w:rsidR="000F5AC2">
        <w:rPr>
          <w:lang w:val="it-IT"/>
        </w:rPr>
        <w:t xml:space="preserve">composto da partner, </w:t>
      </w:r>
      <w:r w:rsidRPr="003E72C2">
        <w:rPr>
          <w:lang w:val="it-IT"/>
        </w:rPr>
        <w:t xml:space="preserve">portali di e-commerce, software aziendali e molto altro ancora. </w:t>
      </w:r>
    </w:p>
    <w:p w14:paraId="3521688E" w14:textId="77777777" w:rsidR="005938B6" w:rsidRPr="001E17F1" w:rsidRDefault="005938B6">
      <w:pPr>
        <w:rPr>
          <w:rFonts w:ascii="Oracle Sans" w:eastAsia="Times New Roman" w:hAnsi="Oracle Sans" w:cs="Calibri"/>
          <w:color w:val="000000"/>
          <w:sz w:val="18"/>
          <w:szCs w:val="18"/>
          <w:lang w:val="it-IT"/>
        </w:rPr>
      </w:pPr>
    </w:p>
    <w:p w14:paraId="5DB4EFA4" w14:textId="77777777" w:rsidR="005938B6" w:rsidRPr="001E17F1" w:rsidRDefault="00080BD2">
      <w:pPr>
        <w:pStyle w:val="P68B1DB1-Normal7"/>
        <w:rPr>
          <w:sz w:val="18"/>
          <w:szCs w:val="18"/>
          <w:lang w:val="it-IT"/>
        </w:rPr>
      </w:pPr>
      <w:r w:rsidRPr="001E17F1">
        <w:rPr>
          <w:sz w:val="18"/>
          <w:szCs w:val="18"/>
          <w:lang w:val="it-IT"/>
        </w:rPr>
        <w:t>Informazioni su Oracle</w:t>
      </w:r>
    </w:p>
    <w:p w14:paraId="015A618A" w14:textId="77777777" w:rsidR="005938B6" w:rsidRPr="001E17F1" w:rsidRDefault="00080BD2">
      <w:pPr>
        <w:rPr>
          <w:rFonts w:ascii="Oracle Sans" w:hAnsi="Oracle Sans" w:cstheme="minorHAnsi"/>
          <w:color w:val="000000"/>
          <w:sz w:val="18"/>
          <w:szCs w:val="18"/>
          <w:lang w:val="it-IT"/>
        </w:rPr>
      </w:pPr>
      <w:r w:rsidRPr="001E17F1">
        <w:rPr>
          <w:rFonts w:ascii="Oracle Sans" w:hAnsi="Oracle Sans" w:cstheme="minorHAnsi"/>
          <w:color w:val="000000"/>
          <w:sz w:val="18"/>
          <w:szCs w:val="18"/>
          <w:lang w:val="it-IT"/>
        </w:rPr>
        <w:t xml:space="preserve">Oracle offre una suite di applicazioni integrate, oltre a un'infrastruttura sicura e autonoma in Oracle Cloud. Per maggiori informazioni su Oracle (NYSE: ORCL), visita il nostro sito </w:t>
      </w:r>
      <w:hyperlink r:id="rId8" w:history="1">
        <w:r w:rsidRPr="001E17F1">
          <w:rPr>
            <w:rStyle w:val="Collegamentoipertestuale"/>
            <w:rFonts w:ascii="Oracle Sans" w:hAnsi="Oracle Sans" w:cstheme="minorHAnsi"/>
            <w:sz w:val="18"/>
            <w:szCs w:val="18"/>
            <w:lang w:val="it-IT"/>
          </w:rPr>
          <w:t>www.oracle.com</w:t>
        </w:r>
      </w:hyperlink>
      <w:r w:rsidRPr="001E17F1">
        <w:rPr>
          <w:rFonts w:ascii="Oracle Sans" w:hAnsi="Oracle Sans" w:cstheme="minorHAnsi"/>
          <w:color w:val="000000"/>
          <w:sz w:val="18"/>
          <w:szCs w:val="18"/>
          <w:lang w:val="it-IT"/>
        </w:rPr>
        <w:t>.</w:t>
      </w:r>
    </w:p>
    <w:p w14:paraId="035CA163" w14:textId="77777777" w:rsidR="005938B6" w:rsidRPr="001E17F1" w:rsidRDefault="005938B6">
      <w:pPr>
        <w:rPr>
          <w:rFonts w:ascii="Oracle Sans" w:hAnsi="Oracle Sans" w:cstheme="minorHAnsi"/>
          <w:b/>
          <w:color w:val="000000"/>
          <w:sz w:val="18"/>
          <w:szCs w:val="18"/>
          <w:lang w:val="it-IT"/>
        </w:rPr>
      </w:pPr>
    </w:p>
    <w:p w14:paraId="13A7F390" w14:textId="77777777" w:rsidR="005938B6" w:rsidRPr="001E17F1" w:rsidRDefault="00080BD2">
      <w:pPr>
        <w:pStyle w:val="P68B1DB1-Normal7"/>
        <w:rPr>
          <w:sz w:val="18"/>
          <w:szCs w:val="18"/>
          <w:lang w:val="it-IT"/>
        </w:rPr>
      </w:pPr>
      <w:r w:rsidRPr="001E17F1">
        <w:rPr>
          <w:sz w:val="18"/>
          <w:szCs w:val="18"/>
          <w:lang w:val="it-IT"/>
        </w:rPr>
        <w:t>Marchi registrati</w:t>
      </w:r>
    </w:p>
    <w:p w14:paraId="2D379AD0" w14:textId="77777777" w:rsidR="005938B6" w:rsidRPr="001E17F1" w:rsidRDefault="00080BD2">
      <w:pPr>
        <w:pStyle w:val="P68B1DB1-Normal8"/>
        <w:rPr>
          <w:sz w:val="18"/>
          <w:szCs w:val="18"/>
          <w:lang w:val="it-IT"/>
        </w:rPr>
      </w:pPr>
      <w:r w:rsidRPr="001E17F1">
        <w:rPr>
          <w:sz w:val="18"/>
          <w:szCs w:val="18"/>
          <w:lang w:val="it-IT"/>
        </w:rPr>
        <w:t>Oracle, Java e MySQL sono marchi registrati di Oracle Corporation.</w:t>
      </w:r>
    </w:p>
    <w:p w14:paraId="493ADA4F" w14:textId="77777777" w:rsidR="005938B6" w:rsidRPr="001E17F1" w:rsidRDefault="005938B6">
      <w:pPr>
        <w:rPr>
          <w:rFonts w:ascii="Oracle Sans" w:hAnsi="Oracle Sans" w:cstheme="minorHAnsi"/>
          <w:b/>
          <w:sz w:val="18"/>
          <w:szCs w:val="18"/>
          <w:lang w:val="it-IT"/>
        </w:rPr>
      </w:pPr>
    </w:p>
    <w:p w14:paraId="4B732654" w14:textId="77777777" w:rsidR="00A96492" w:rsidRPr="001E17F1" w:rsidRDefault="00A96492" w:rsidP="00A96492">
      <w:pPr>
        <w:rPr>
          <w:rFonts w:ascii="Oracle Sans" w:hAnsi="Oracle Sans"/>
          <w:sz w:val="18"/>
          <w:szCs w:val="18"/>
          <w:lang w:val="it-IT"/>
        </w:rPr>
      </w:pPr>
      <w:r w:rsidRPr="001E17F1">
        <w:rPr>
          <w:rFonts w:ascii="Oracle Sans" w:hAnsi="Oracle Sans"/>
          <w:b/>
          <w:bCs/>
          <w:sz w:val="18"/>
          <w:szCs w:val="18"/>
          <w:lang w:val="it-IT"/>
        </w:rPr>
        <w:t>Contatti per la stampa</w:t>
      </w:r>
    </w:p>
    <w:p w14:paraId="1B9234EB" w14:textId="77777777" w:rsidR="00A96492" w:rsidRPr="001E17F1" w:rsidRDefault="00A96492" w:rsidP="00A96492">
      <w:pPr>
        <w:rPr>
          <w:rFonts w:ascii="Oracle Sans" w:hAnsi="Oracle Sans"/>
          <w:sz w:val="18"/>
          <w:szCs w:val="18"/>
          <w:lang w:val="it-IT"/>
        </w:rPr>
      </w:pPr>
      <w:r w:rsidRPr="001E17F1">
        <w:rPr>
          <w:rFonts w:ascii="Oracle Sans" w:hAnsi="Oracle Sans"/>
          <w:b/>
          <w:bCs/>
          <w:sz w:val="18"/>
          <w:szCs w:val="18"/>
          <w:lang w:val="it-IT"/>
        </w:rPr>
        <w:t>Simona Menghini</w:t>
      </w:r>
      <w:r w:rsidRPr="001E17F1">
        <w:rPr>
          <w:rFonts w:ascii="Oracle Sans" w:hAnsi="Oracle Sans"/>
          <w:sz w:val="18"/>
          <w:szCs w:val="18"/>
          <w:lang w:val="it-IT"/>
        </w:rPr>
        <w:t xml:space="preserve">, ORACLE Italia: cell. 342-6989617 </w:t>
      </w:r>
      <w:hyperlink r:id="rId9" w:history="1">
        <w:r w:rsidRPr="001E17F1">
          <w:rPr>
            <w:rStyle w:val="Collegamentoipertestuale"/>
            <w:rFonts w:ascii="Oracle Sans" w:hAnsi="Oracle Sans"/>
            <w:sz w:val="18"/>
            <w:szCs w:val="18"/>
            <w:lang w:val="it-IT"/>
          </w:rPr>
          <w:t>simona.menghini@oracle.com</w:t>
        </w:r>
      </w:hyperlink>
    </w:p>
    <w:p w14:paraId="5304CB06" w14:textId="3B7937E8" w:rsidR="00A96492" w:rsidRPr="001E17F1" w:rsidRDefault="00A96492" w:rsidP="00A96492">
      <w:pPr>
        <w:rPr>
          <w:rFonts w:ascii="Oracle Sans" w:hAnsi="Oracle Sans"/>
          <w:sz w:val="18"/>
          <w:szCs w:val="18"/>
          <w:lang w:val="it-IT"/>
        </w:rPr>
      </w:pPr>
      <w:r w:rsidRPr="001E17F1">
        <w:rPr>
          <w:rFonts w:ascii="Oracle Sans" w:hAnsi="Oracle Sans"/>
          <w:b/>
          <w:bCs/>
          <w:sz w:val="18"/>
          <w:szCs w:val="18"/>
          <w:lang w:val="it-IT"/>
        </w:rPr>
        <w:t>Prima Pagina Comunicazione</w:t>
      </w:r>
      <w:r w:rsidRPr="001E17F1">
        <w:rPr>
          <w:rFonts w:ascii="Oracle Sans" w:hAnsi="Oracle Sans"/>
          <w:sz w:val="18"/>
          <w:szCs w:val="18"/>
          <w:lang w:val="it-IT"/>
        </w:rPr>
        <w:t xml:space="preserve">: Tania Acerbi, Viviana Viviani, Caterina Ferrara, Ivonne Carpinelli </w:t>
      </w:r>
      <w:r w:rsidRPr="001E17F1">
        <w:rPr>
          <w:rFonts w:ascii="Oracle Sans" w:hAnsi="Oracle Sans" w:hint="eastAsia"/>
          <w:sz w:val="18"/>
          <w:szCs w:val="18"/>
          <w:lang w:val="it-IT"/>
        </w:rPr>
        <w:t>–</w:t>
      </w:r>
      <w:r w:rsidRPr="001E17F1">
        <w:rPr>
          <w:rFonts w:ascii="Oracle Sans" w:hAnsi="Oracle Sans"/>
          <w:sz w:val="18"/>
          <w:szCs w:val="18"/>
          <w:lang w:val="it-IT"/>
        </w:rPr>
        <w:t xml:space="preserve"> tel. 0291339.811 </w:t>
      </w:r>
      <w:hyperlink r:id="rId10" w:history="1">
        <w:r w:rsidRPr="001E17F1">
          <w:rPr>
            <w:rStyle w:val="Collegamentoipertestuale"/>
            <w:rFonts w:ascii="Oracle Sans" w:hAnsi="Oracle Sans"/>
            <w:sz w:val="18"/>
            <w:szCs w:val="18"/>
            <w:lang w:val="it-IT"/>
          </w:rPr>
          <w:t>team.oracle@primapagina.it</w:t>
        </w:r>
      </w:hyperlink>
    </w:p>
    <w:p w14:paraId="2E79B068" w14:textId="77777777" w:rsidR="005938B6" w:rsidRPr="003E72C2" w:rsidRDefault="005938B6">
      <w:pPr>
        <w:pStyle w:val="Paragrafoelenco"/>
        <w:ind w:left="0"/>
        <w:contextualSpacing w:val="0"/>
        <w:rPr>
          <w:rFonts w:ascii="Oracle Sans" w:hAnsi="Oracle Sans"/>
          <w:lang w:val="it-IT"/>
        </w:rPr>
      </w:pPr>
    </w:p>
    <w:sectPr w:rsidR="005938B6" w:rsidRPr="003E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acle Sans">
    <w:altName w:val="Sylfaen"/>
    <w:charset w:val="00"/>
    <w:family w:val="swiss"/>
    <w:pitch w:val="variable"/>
    <w:sig w:usb0="A10006EF" w:usb1="400060FB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1B9"/>
    <w:multiLevelType w:val="multilevel"/>
    <w:tmpl w:val="858A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167D4"/>
    <w:multiLevelType w:val="hybridMultilevel"/>
    <w:tmpl w:val="4328E7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D614A"/>
    <w:multiLevelType w:val="multilevel"/>
    <w:tmpl w:val="18E4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FE67B4"/>
    <w:multiLevelType w:val="hybridMultilevel"/>
    <w:tmpl w:val="10D4D36C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A6F15"/>
    <w:multiLevelType w:val="hybridMultilevel"/>
    <w:tmpl w:val="7E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60866">
    <w:abstractNumId w:val="4"/>
  </w:num>
  <w:num w:numId="2" w16cid:durableId="1503349672">
    <w:abstractNumId w:val="2"/>
  </w:num>
  <w:num w:numId="3" w16cid:durableId="922374845">
    <w:abstractNumId w:val="0"/>
  </w:num>
  <w:num w:numId="4" w16cid:durableId="1846818765">
    <w:abstractNumId w:val="1"/>
  </w:num>
  <w:num w:numId="5" w16cid:durableId="131294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8"/>
    <w:rsid w:val="000022CA"/>
    <w:rsid w:val="000052D3"/>
    <w:rsid w:val="00006EAF"/>
    <w:rsid w:val="000076F9"/>
    <w:rsid w:val="00017013"/>
    <w:rsid w:val="00020BCE"/>
    <w:rsid w:val="00020CF3"/>
    <w:rsid w:val="00030135"/>
    <w:rsid w:val="000321A8"/>
    <w:rsid w:val="000572AD"/>
    <w:rsid w:val="00060808"/>
    <w:rsid w:val="00061AF0"/>
    <w:rsid w:val="00080BD2"/>
    <w:rsid w:val="00084765"/>
    <w:rsid w:val="00091527"/>
    <w:rsid w:val="00096D79"/>
    <w:rsid w:val="000A0E4B"/>
    <w:rsid w:val="000A5E31"/>
    <w:rsid w:val="000F5AC2"/>
    <w:rsid w:val="00105D66"/>
    <w:rsid w:val="00112021"/>
    <w:rsid w:val="001202A3"/>
    <w:rsid w:val="00124FAA"/>
    <w:rsid w:val="001277F8"/>
    <w:rsid w:val="0013254E"/>
    <w:rsid w:val="0013422C"/>
    <w:rsid w:val="001533E2"/>
    <w:rsid w:val="001537CF"/>
    <w:rsid w:val="001546D6"/>
    <w:rsid w:val="00172DCF"/>
    <w:rsid w:val="00176FA8"/>
    <w:rsid w:val="0018689B"/>
    <w:rsid w:val="001C6BE7"/>
    <w:rsid w:val="001D353E"/>
    <w:rsid w:val="001D74B8"/>
    <w:rsid w:val="001E17F1"/>
    <w:rsid w:val="001E7D6E"/>
    <w:rsid w:val="001F01C4"/>
    <w:rsid w:val="001F19D6"/>
    <w:rsid w:val="001F2EAE"/>
    <w:rsid w:val="001F5A3D"/>
    <w:rsid w:val="00202BF3"/>
    <w:rsid w:val="002122BE"/>
    <w:rsid w:val="002166BC"/>
    <w:rsid w:val="0022439C"/>
    <w:rsid w:val="00234EE3"/>
    <w:rsid w:val="002354B0"/>
    <w:rsid w:val="0024393F"/>
    <w:rsid w:val="00243B56"/>
    <w:rsid w:val="0025121D"/>
    <w:rsid w:val="00261E94"/>
    <w:rsid w:val="00272F79"/>
    <w:rsid w:val="00274DE1"/>
    <w:rsid w:val="00285426"/>
    <w:rsid w:val="00290029"/>
    <w:rsid w:val="002B287E"/>
    <w:rsid w:val="002B5B59"/>
    <w:rsid w:val="002C521F"/>
    <w:rsid w:val="002D139B"/>
    <w:rsid w:val="002D5B2E"/>
    <w:rsid w:val="002E39FB"/>
    <w:rsid w:val="002F31B9"/>
    <w:rsid w:val="002F38BF"/>
    <w:rsid w:val="00303FA5"/>
    <w:rsid w:val="00304B6F"/>
    <w:rsid w:val="00307090"/>
    <w:rsid w:val="0033230A"/>
    <w:rsid w:val="00334F3E"/>
    <w:rsid w:val="00335D38"/>
    <w:rsid w:val="00343270"/>
    <w:rsid w:val="00362990"/>
    <w:rsid w:val="00364775"/>
    <w:rsid w:val="0037619E"/>
    <w:rsid w:val="00376A38"/>
    <w:rsid w:val="00382ADA"/>
    <w:rsid w:val="003B0014"/>
    <w:rsid w:val="003B7C4D"/>
    <w:rsid w:val="003C1EC1"/>
    <w:rsid w:val="003C50CE"/>
    <w:rsid w:val="003C54AB"/>
    <w:rsid w:val="003E72C2"/>
    <w:rsid w:val="003F127E"/>
    <w:rsid w:val="004028F5"/>
    <w:rsid w:val="00412900"/>
    <w:rsid w:val="00422436"/>
    <w:rsid w:val="004225A1"/>
    <w:rsid w:val="004242F5"/>
    <w:rsid w:val="004312D0"/>
    <w:rsid w:val="00443A56"/>
    <w:rsid w:val="0044522A"/>
    <w:rsid w:val="0044636A"/>
    <w:rsid w:val="00454A06"/>
    <w:rsid w:val="00480565"/>
    <w:rsid w:val="00485E9D"/>
    <w:rsid w:val="00492CB0"/>
    <w:rsid w:val="00492E37"/>
    <w:rsid w:val="004931BF"/>
    <w:rsid w:val="00493890"/>
    <w:rsid w:val="00496CDF"/>
    <w:rsid w:val="004B38CA"/>
    <w:rsid w:val="004B7B71"/>
    <w:rsid w:val="004C2C6B"/>
    <w:rsid w:val="004D41EA"/>
    <w:rsid w:val="004D493A"/>
    <w:rsid w:val="004D7B03"/>
    <w:rsid w:val="004E1914"/>
    <w:rsid w:val="004E43EB"/>
    <w:rsid w:val="004E6C59"/>
    <w:rsid w:val="004F2957"/>
    <w:rsid w:val="00501E07"/>
    <w:rsid w:val="0052034F"/>
    <w:rsid w:val="00526B70"/>
    <w:rsid w:val="005425DF"/>
    <w:rsid w:val="005460E6"/>
    <w:rsid w:val="00546A17"/>
    <w:rsid w:val="00561DED"/>
    <w:rsid w:val="00562D36"/>
    <w:rsid w:val="00565DE0"/>
    <w:rsid w:val="00565F44"/>
    <w:rsid w:val="0057042A"/>
    <w:rsid w:val="00580B2E"/>
    <w:rsid w:val="005836EC"/>
    <w:rsid w:val="005915FD"/>
    <w:rsid w:val="00591930"/>
    <w:rsid w:val="005938B6"/>
    <w:rsid w:val="005A47DC"/>
    <w:rsid w:val="005A60AE"/>
    <w:rsid w:val="005C6142"/>
    <w:rsid w:val="005E02BB"/>
    <w:rsid w:val="005E1FD9"/>
    <w:rsid w:val="005E7721"/>
    <w:rsid w:val="005F65DE"/>
    <w:rsid w:val="0061524A"/>
    <w:rsid w:val="00627C67"/>
    <w:rsid w:val="00632E6E"/>
    <w:rsid w:val="00640BFE"/>
    <w:rsid w:val="00643185"/>
    <w:rsid w:val="00666AC7"/>
    <w:rsid w:val="00666FB7"/>
    <w:rsid w:val="00683985"/>
    <w:rsid w:val="006C3ECC"/>
    <w:rsid w:val="006E2C91"/>
    <w:rsid w:val="006E6946"/>
    <w:rsid w:val="006F24C9"/>
    <w:rsid w:val="006F7D07"/>
    <w:rsid w:val="00706A04"/>
    <w:rsid w:val="007120AC"/>
    <w:rsid w:val="00716191"/>
    <w:rsid w:val="00727C2E"/>
    <w:rsid w:val="00736ACF"/>
    <w:rsid w:val="00750A7D"/>
    <w:rsid w:val="007625E1"/>
    <w:rsid w:val="007660B0"/>
    <w:rsid w:val="007664C4"/>
    <w:rsid w:val="00770BB5"/>
    <w:rsid w:val="00792C2B"/>
    <w:rsid w:val="007B6F4F"/>
    <w:rsid w:val="007C10DD"/>
    <w:rsid w:val="007C46C4"/>
    <w:rsid w:val="007C4C8E"/>
    <w:rsid w:val="007D0F20"/>
    <w:rsid w:val="007D2A02"/>
    <w:rsid w:val="007D5632"/>
    <w:rsid w:val="007D754B"/>
    <w:rsid w:val="00814D66"/>
    <w:rsid w:val="00830DEB"/>
    <w:rsid w:val="0083261A"/>
    <w:rsid w:val="0083549D"/>
    <w:rsid w:val="00847FD8"/>
    <w:rsid w:val="008562B5"/>
    <w:rsid w:val="008722B3"/>
    <w:rsid w:val="008871B8"/>
    <w:rsid w:val="008B75B0"/>
    <w:rsid w:val="008B7BAB"/>
    <w:rsid w:val="008C38CE"/>
    <w:rsid w:val="008F1DBE"/>
    <w:rsid w:val="00941DC8"/>
    <w:rsid w:val="00945D98"/>
    <w:rsid w:val="00951E62"/>
    <w:rsid w:val="00957507"/>
    <w:rsid w:val="0097737E"/>
    <w:rsid w:val="00981915"/>
    <w:rsid w:val="00981D08"/>
    <w:rsid w:val="009A559A"/>
    <w:rsid w:val="009A7A60"/>
    <w:rsid w:val="009C21AF"/>
    <w:rsid w:val="009C532B"/>
    <w:rsid w:val="009C602E"/>
    <w:rsid w:val="009D1049"/>
    <w:rsid w:val="009D18DC"/>
    <w:rsid w:val="009D7C7F"/>
    <w:rsid w:val="009E279E"/>
    <w:rsid w:val="009E2BF4"/>
    <w:rsid w:val="009E7E3F"/>
    <w:rsid w:val="009F261E"/>
    <w:rsid w:val="009F6805"/>
    <w:rsid w:val="00A124EC"/>
    <w:rsid w:val="00A13025"/>
    <w:rsid w:val="00A16F00"/>
    <w:rsid w:val="00A21DEA"/>
    <w:rsid w:val="00A323B5"/>
    <w:rsid w:val="00A36AD1"/>
    <w:rsid w:val="00A419E9"/>
    <w:rsid w:val="00A50827"/>
    <w:rsid w:val="00A66610"/>
    <w:rsid w:val="00A82305"/>
    <w:rsid w:val="00A96492"/>
    <w:rsid w:val="00AB2AFF"/>
    <w:rsid w:val="00AC22B7"/>
    <w:rsid w:val="00AC366B"/>
    <w:rsid w:val="00AF01FB"/>
    <w:rsid w:val="00AF14F0"/>
    <w:rsid w:val="00B222F2"/>
    <w:rsid w:val="00B23828"/>
    <w:rsid w:val="00B23C14"/>
    <w:rsid w:val="00B25362"/>
    <w:rsid w:val="00B2789C"/>
    <w:rsid w:val="00B52F26"/>
    <w:rsid w:val="00B54A62"/>
    <w:rsid w:val="00B64E86"/>
    <w:rsid w:val="00BA0BB1"/>
    <w:rsid w:val="00BA7F6A"/>
    <w:rsid w:val="00BB60B5"/>
    <w:rsid w:val="00BC5C02"/>
    <w:rsid w:val="00BC66EC"/>
    <w:rsid w:val="00BD071C"/>
    <w:rsid w:val="00BD1B17"/>
    <w:rsid w:val="00BD2FEF"/>
    <w:rsid w:val="00BF56F1"/>
    <w:rsid w:val="00C15C91"/>
    <w:rsid w:val="00C44422"/>
    <w:rsid w:val="00C510D5"/>
    <w:rsid w:val="00C56B41"/>
    <w:rsid w:val="00C60DBE"/>
    <w:rsid w:val="00C63671"/>
    <w:rsid w:val="00C71263"/>
    <w:rsid w:val="00C77CB9"/>
    <w:rsid w:val="00C82F49"/>
    <w:rsid w:val="00C96959"/>
    <w:rsid w:val="00C97050"/>
    <w:rsid w:val="00CB6584"/>
    <w:rsid w:val="00CF7215"/>
    <w:rsid w:val="00D0322C"/>
    <w:rsid w:val="00D03849"/>
    <w:rsid w:val="00D06F5A"/>
    <w:rsid w:val="00D22FA2"/>
    <w:rsid w:val="00D364D9"/>
    <w:rsid w:val="00D44B31"/>
    <w:rsid w:val="00D4525C"/>
    <w:rsid w:val="00D506E1"/>
    <w:rsid w:val="00D50AE4"/>
    <w:rsid w:val="00D5429F"/>
    <w:rsid w:val="00D56BB9"/>
    <w:rsid w:val="00D80D17"/>
    <w:rsid w:val="00D840D0"/>
    <w:rsid w:val="00D874B9"/>
    <w:rsid w:val="00D87D90"/>
    <w:rsid w:val="00D956A9"/>
    <w:rsid w:val="00DA07F7"/>
    <w:rsid w:val="00DA2BB7"/>
    <w:rsid w:val="00DA6F4F"/>
    <w:rsid w:val="00DD3A06"/>
    <w:rsid w:val="00DD6248"/>
    <w:rsid w:val="00DE4E30"/>
    <w:rsid w:val="00DE7DD0"/>
    <w:rsid w:val="00DF3C3A"/>
    <w:rsid w:val="00E14A2D"/>
    <w:rsid w:val="00E227D9"/>
    <w:rsid w:val="00E23E8A"/>
    <w:rsid w:val="00E24ED9"/>
    <w:rsid w:val="00E33D81"/>
    <w:rsid w:val="00E447A0"/>
    <w:rsid w:val="00E46BBE"/>
    <w:rsid w:val="00E5741D"/>
    <w:rsid w:val="00E575B7"/>
    <w:rsid w:val="00E625D1"/>
    <w:rsid w:val="00E66B3B"/>
    <w:rsid w:val="00E66D54"/>
    <w:rsid w:val="00EA28EE"/>
    <w:rsid w:val="00EA7226"/>
    <w:rsid w:val="00EA73C6"/>
    <w:rsid w:val="00EB5636"/>
    <w:rsid w:val="00EE3D48"/>
    <w:rsid w:val="00F010F5"/>
    <w:rsid w:val="00F0394A"/>
    <w:rsid w:val="00F11040"/>
    <w:rsid w:val="00F1361B"/>
    <w:rsid w:val="00F14799"/>
    <w:rsid w:val="00F364EF"/>
    <w:rsid w:val="00F456C9"/>
    <w:rsid w:val="00F4669D"/>
    <w:rsid w:val="00F53524"/>
    <w:rsid w:val="00F5409B"/>
    <w:rsid w:val="00F54FED"/>
    <w:rsid w:val="00F56892"/>
    <w:rsid w:val="00F66CF4"/>
    <w:rsid w:val="00F935D4"/>
    <w:rsid w:val="00FA4E6E"/>
    <w:rsid w:val="00FB53D6"/>
    <w:rsid w:val="00FB617C"/>
    <w:rsid w:val="00FC7579"/>
    <w:rsid w:val="00FD6811"/>
    <w:rsid w:val="00FD6AC6"/>
    <w:rsid w:val="00FE1A2E"/>
    <w:rsid w:val="00FE3290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D317"/>
  <w15:chartTrackingRefBased/>
  <w15:docId w15:val="{C6B6A67A-24FC-3D42-965E-4DED19B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1A8"/>
    <w:pPr>
      <w:spacing w:line="264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1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66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61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0565"/>
    <w:rPr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80565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0565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056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0565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0565"/>
    <w:rPr>
      <w:b/>
      <w:sz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439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D06F5A"/>
  </w:style>
  <w:style w:type="paragraph" w:customStyle="1" w:styleId="P68B1DB1-Normal1">
    <w:name w:val="P68B1DB1-Normal1"/>
    <w:basedOn w:val="Normale"/>
    <w:rPr>
      <w:b/>
      <w:sz w:val="24"/>
    </w:rPr>
  </w:style>
  <w:style w:type="paragraph" w:customStyle="1" w:styleId="P68B1DB1-Normal2">
    <w:name w:val="P68B1DB1-Normal2"/>
    <w:basedOn w:val="Normale"/>
    <w:rPr>
      <w:rFonts w:ascii="Oracle Sans" w:hAnsi="Oracle Sans" w:cstheme="minorHAnsi"/>
      <w:b/>
    </w:rPr>
  </w:style>
  <w:style w:type="paragraph" w:customStyle="1" w:styleId="P68B1DB1-Normal3">
    <w:name w:val="P68B1DB1-Normal3"/>
    <w:basedOn w:val="Normale"/>
    <w:rPr>
      <w:rFonts w:ascii="Oracle Sans" w:hAnsi="Oracle Sans"/>
    </w:rPr>
  </w:style>
  <w:style w:type="paragraph" w:customStyle="1" w:styleId="P68B1DB1-Normal4">
    <w:name w:val="P68B1DB1-Normal4"/>
    <w:basedOn w:val="Normale"/>
    <w:rPr>
      <w:rFonts w:ascii="Oracle Sans" w:eastAsia="Times New Roman" w:hAnsi="Oracle Sans" w:cs="Calibri"/>
      <w:color w:val="000000"/>
    </w:rPr>
  </w:style>
  <w:style w:type="paragraph" w:customStyle="1" w:styleId="P68B1DB1-Normal5">
    <w:name w:val="P68B1DB1-Normal5"/>
    <w:basedOn w:val="Normale"/>
    <w:rPr>
      <w:rFonts w:ascii="Oracle Sans" w:eastAsia="Times New Roman" w:hAnsi="Oracle Sans" w:cs="Calibri"/>
      <w:b/>
      <w:color w:val="000000"/>
    </w:rPr>
  </w:style>
  <w:style w:type="paragraph" w:customStyle="1" w:styleId="P68B1DB1-Normal6">
    <w:name w:val="P68B1DB1-Normal6"/>
    <w:basedOn w:val="Normale"/>
    <w:rPr>
      <w:rFonts w:ascii="Oracle Sans" w:hAnsi="Oracle Sans"/>
      <w:color w:val="000000"/>
    </w:rPr>
  </w:style>
  <w:style w:type="paragraph" w:customStyle="1" w:styleId="P68B1DB1-Normal7">
    <w:name w:val="P68B1DB1-Normal7"/>
    <w:basedOn w:val="Normale"/>
    <w:rPr>
      <w:rFonts w:ascii="Oracle Sans" w:hAnsi="Oracle Sans" w:cstheme="minorHAnsi"/>
      <w:b/>
      <w:color w:val="000000"/>
    </w:rPr>
  </w:style>
  <w:style w:type="paragraph" w:customStyle="1" w:styleId="P68B1DB1-Normal8">
    <w:name w:val="P68B1DB1-Normal8"/>
    <w:basedOn w:val="Normale"/>
    <w:rPr>
      <w:rFonts w:ascii="Oracle Sans" w:hAnsi="Oracle Sans" w:cstheme="minorHAnsi"/>
      <w:color w:val="000000"/>
    </w:rPr>
  </w:style>
  <w:style w:type="paragraph" w:customStyle="1" w:styleId="P68B1DB1-Normal9">
    <w:name w:val="P68B1DB1-Normal9"/>
    <w:basedOn w:val="Normale"/>
    <w:rPr>
      <w:rFonts w:ascii="Oracle Sans" w:hAnsi="Oracle Sans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cl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ckinsey.com/capabilities/risk-and-resilience/our-insights/designing-next-generation-credit-decisioning-model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ndviewresearch.com/press-release/global-digital-payments-mark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m.oracle@primapag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a.menghini@orac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8987-B929-43FD-8361-98E67396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Brill</dc:creator>
  <cp:lastModifiedBy>Ivonne Carpinelli</cp:lastModifiedBy>
  <cp:revision>16</cp:revision>
  <dcterms:created xsi:type="dcterms:W3CDTF">2023-02-23T11:01:00Z</dcterms:created>
  <dcterms:modified xsi:type="dcterms:W3CDTF">2023-02-23T14:07:00Z</dcterms:modified>
</cp:coreProperties>
</file>