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3FCF" w14:textId="77777777" w:rsidR="007005F8" w:rsidRDefault="007005F8" w:rsidP="007005F8"/>
    <w:p w14:paraId="6BE7D79E" w14:textId="7DEB709C" w:rsidR="007005F8" w:rsidRDefault="007005F8" w:rsidP="007005F8">
      <w:pPr>
        <w:pStyle w:val="P68B1DB1-Normal1"/>
        <w:rPr>
          <w:b/>
          <w:bCs/>
        </w:rPr>
      </w:pPr>
      <w:r>
        <w:rPr>
          <w:noProof/>
        </w:rPr>
        <w:drawing>
          <wp:inline distT="0" distB="0" distL="0" distR="0" wp14:anchorId="216D50F3" wp14:editId="09F45848">
            <wp:extent cx="1792605" cy="348615"/>
            <wp:effectExtent l="0" t="0" r="17145" b="13335"/>
            <wp:docPr id="1285515681" name="Immagin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92605" cy="348615"/>
                    </a:xfrm>
                    <a:prstGeom prst="rect">
                      <a:avLst/>
                    </a:prstGeom>
                    <a:noFill/>
                    <a:ln>
                      <a:noFill/>
                    </a:ln>
                  </pic:spPr>
                </pic:pic>
              </a:graphicData>
            </a:graphic>
          </wp:inline>
        </w:drawing>
      </w:r>
      <w:r>
        <w:rPr>
          <w:b/>
          <w:bCs/>
        </w:rPr>
        <w:t>Comunicato stampa</w:t>
      </w:r>
    </w:p>
    <w:p w14:paraId="3847A622" w14:textId="77777777" w:rsidR="007005F8" w:rsidRDefault="007005F8" w:rsidP="007005F8">
      <w:pPr>
        <w:rPr>
          <w:rFonts w:ascii="Oracle Sans" w:hAnsi="Oracle Sans"/>
          <w:b/>
          <w:bCs/>
          <w:sz w:val="32"/>
          <w:szCs w:val="32"/>
          <w:lang w:eastAsia="it-IT"/>
          <w14:ligatures w14:val="none"/>
        </w:rPr>
      </w:pPr>
    </w:p>
    <w:p w14:paraId="2FBD492F" w14:textId="77777777" w:rsidR="007005F8" w:rsidRDefault="007005F8" w:rsidP="007005F8">
      <w:pPr>
        <w:jc w:val="center"/>
        <w:rPr>
          <w:rFonts w:ascii="Oracle Sans" w:hAnsi="Oracle Sans"/>
          <w:b/>
          <w:bCs/>
          <w:sz w:val="32"/>
          <w:szCs w:val="32"/>
          <w:lang w:eastAsia="it-IT"/>
          <w14:ligatures w14:val="none"/>
        </w:rPr>
      </w:pPr>
      <w:r>
        <w:rPr>
          <w:rFonts w:ascii="Oracle Sans" w:hAnsi="Oracle Sans"/>
          <w:b/>
          <w:bCs/>
          <w:sz w:val="32"/>
          <w:szCs w:val="32"/>
          <w:lang w:eastAsia="it-IT"/>
          <w14:ligatures w14:val="none"/>
        </w:rPr>
        <w:t>Oracle trasforma i pagamenti e le transazioni bancarie in cloud</w:t>
      </w:r>
    </w:p>
    <w:p w14:paraId="0BAD59F5" w14:textId="77777777" w:rsidR="007005F8" w:rsidRDefault="007005F8" w:rsidP="007005F8">
      <w:pPr>
        <w:rPr>
          <w:rFonts w:ascii="Oracle Sans" w:hAnsi="Oracle Sans"/>
          <w:i/>
          <w:iCs/>
          <w:lang w:eastAsia="it-IT"/>
          <w14:ligatures w14:val="none"/>
        </w:rPr>
      </w:pPr>
    </w:p>
    <w:p w14:paraId="1460C33B" w14:textId="77777777" w:rsidR="007005F8" w:rsidRDefault="007005F8" w:rsidP="007005F8">
      <w:pPr>
        <w:jc w:val="center"/>
        <w:rPr>
          <w:rFonts w:ascii="Oracle Sans" w:hAnsi="Oracle Sans"/>
          <w:i/>
          <w:iCs/>
          <w:lang w:eastAsia="it-IT"/>
          <w14:ligatures w14:val="none"/>
        </w:rPr>
      </w:pPr>
      <w:r>
        <w:rPr>
          <w:rFonts w:ascii="Oracle Sans" w:hAnsi="Oracle Sans"/>
          <w:i/>
          <w:iCs/>
          <w:lang w:eastAsia="it-IT"/>
          <w14:ligatures w14:val="none"/>
        </w:rPr>
        <w:t xml:space="preserve">Nuove soluzioni complete per gestire contanti e pagamenti che offrono alle banche più visibilità e capacità di previsione, per aiutare le aziende clienti a gestire meglio flussi di cassa e liquidità </w:t>
      </w:r>
    </w:p>
    <w:p w14:paraId="5F2E5CE3" w14:textId="5B589FB9" w:rsidR="007005F8" w:rsidRDefault="007005F8" w:rsidP="007005F8">
      <w:pPr>
        <w:jc w:val="center"/>
        <w:rPr>
          <w:rFonts w:ascii="Oracle Sans" w:hAnsi="Oracle Sans"/>
          <w:lang w:eastAsia="it-IT"/>
          <w14:ligatures w14:val="none"/>
        </w:rPr>
      </w:pPr>
    </w:p>
    <w:p w14:paraId="10AE61FC" w14:textId="77777777" w:rsidR="007005F8" w:rsidRDefault="007005F8" w:rsidP="007005F8">
      <w:pPr>
        <w:rPr>
          <w:rFonts w:ascii="Oracle Sans" w:hAnsi="Oracle Sans"/>
          <w:lang w:eastAsia="it-IT"/>
          <w14:ligatures w14:val="none"/>
        </w:rPr>
      </w:pPr>
      <w:r>
        <w:rPr>
          <w:rFonts w:ascii="Oracle Sans" w:hAnsi="Oracle Sans"/>
          <w:b/>
          <w:bCs/>
          <w:lang w:eastAsia="it-IT"/>
          <w14:ligatures w14:val="none"/>
        </w:rPr>
        <w:t xml:space="preserve">Oracle Cloud World, Las Vegas / Milano 22 settembre 2023 - </w:t>
      </w:r>
      <w:r>
        <w:rPr>
          <w:rFonts w:ascii="Oracle Sans" w:hAnsi="Oracle Sans"/>
          <w:lang w:eastAsia="it-IT"/>
          <w14:ligatures w14:val="none"/>
        </w:rPr>
        <w:t xml:space="preserve">Oracle ha ampliato la sua offerta di servizi cloud specifici per il mondo bancario - Oracle Banking Cloud Services - per aiutare gli istituti di credito a lanciare rapidamente offerte complete per le transazioni bancarie, con cui gestire al meglio i </w:t>
      </w:r>
      <w:hyperlink r:id="rId8" w:history="1">
        <w:r>
          <w:rPr>
            <w:rStyle w:val="Collegamentoipertestuale"/>
            <w:rFonts w:ascii="Oracle Sans" w:hAnsi="Oracle Sans"/>
            <w:lang w:eastAsia="it-IT"/>
            <w14:ligatures w14:val="none"/>
          </w:rPr>
          <w:t>flussi di contante</w:t>
        </w:r>
      </w:hyperlink>
      <w:r>
        <w:rPr>
          <w:rFonts w:ascii="Oracle Sans" w:hAnsi="Oracle Sans"/>
          <w:lang w:eastAsia="it-IT"/>
          <w14:ligatures w14:val="none"/>
        </w:rPr>
        <w:t xml:space="preserve">, la </w:t>
      </w:r>
      <w:hyperlink r:id="rId9" w:history="1">
        <w:r>
          <w:rPr>
            <w:rStyle w:val="Collegamentoipertestuale"/>
            <w:rFonts w:ascii="Oracle Sans" w:hAnsi="Oracle Sans"/>
            <w:lang w:eastAsia="it-IT"/>
            <w14:ligatures w14:val="none"/>
          </w:rPr>
          <w:t>liquidità</w:t>
        </w:r>
      </w:hyperlink>
      <w:r>
        <w:rPr>
          <w:rFonts w:ascii="Oracle Sans" w:hAnsi="Oracle Sans"/>
          <w:lang w:eastAsia="it-IT"/>
          <w14:ligatures w14:val="none"/>
        </w:rPr>
        <w:t xml:space="preserve"> e i </w:t>
      </w:r>
      <w:hyperlink r:id="rId10" w:history="1">
        <w:r>
          <w:rPr>
            <w:rStyle w:val="Collegamentoipertestuale"/>
            <w:rFonts w:ascii="Oracle Sans" w:hAnsi="Oracle Sans"/>
            <w:lang w:eastAsia="it-IT"/>
            <w14:ligatures w14:val="none"/>
          </w:rPr>
          <w:t>conti virtuali</w:t>
        </w:r>
      </w:hyperlink>
      <w:r>
        <w:rPr>
          <w:rFonts w:ascii="Oracle Sans" w:hAnsi="Oracle Sans"/>
          <w:lang w:eastAsia="it-IT"/>
          <w14:ligatures w14:val="none"/>
        </w:rPr>
        <w:t xml:space="preserve">.  Questi nuovi servizi -  associati alla capacità di </w:t>
      </w:r>
      <w:hyperlink r:id="rId11" w:history="1">
        <w:r>
          <w:rPr>
            <w:rStyle w:val="Collegamentoipertestuale"/>
            <w:rFonts w:ascii="Oracle Sans" w:hAnsi="Oracle Sans"/>
            <w:lang w:eastAsia="it-IT"/>
            <w14:ligatures w14:val="none"/>
          </w:rPr>
          <w:t>processare i pagamenti</w:t>
        </w:r>
      </w:hyperlink>
      <w:r>
        <w:rPr>
          <w:rFonts w:ascii="Oracle Sans" w:hAnsi="Oracle Sans"/>
          <w:lang w:eastAsia="it-IT"/>
          <w14:ligatures w14:val="none"/>
        </w:rPr>
        <w:t xml:space="preserve"> in tempo reale, </w:t>
      </w:r>
      <w:hyperlink r:id="rId12" w:history="1">
        <w:r>
          <w:rPr>
            <w:rStyle w:val="Collegamentoipertestuale"/>
            <w:rFonts w:ascii="Oracle Sans" w:hAnsi="Oracle Sans"/>
            <w:lang w:eastAsia="it-IT"/>
            <w14:ligatures w14:val="none"/>
          </w:rPr>
          <w:t>gestire l’operatività dei conti</w:t>
        </w:r>
      </w:hyperlink>
      <w:r>
        <w:rPr>
          <w:rFonts w:ascii="Oracle Sans" w:hAnsi="Oracle Sans"/>
          <w:lang w:eastAsia="it-IT"/>
          <w14:ligatures w14:val="none"/>
        </w:rPr>
        <w:t xml:space="preserve"> a livello </w:t>
      </w:r>
      <w:proofErr w:type="spellStart"/>
      <w:r>
        <w:rPr>
          <w:rFonts w:ascii="Oracle Sans" w:hAnsi="Oracle Sans"/>
          <w:lang w:eastAsia="it-IT"/>
          <w14:ligatures w14:val="none"/>
        </w:rPr>
        <w:t>hyperscale</w:t>
      </w:r>
      <w:proofErr w:type="spellEnd"/>
      <w:r>
        <w:rPr>
          <w:rFonts w:ascii="Oracle Sans" w:hAnsi="Oracle Sans"/>
          <w:lang w:eastAsia="it-IT"/>
          <w14:ligatures w14:val="none"/>
        </w:rPr>
        <w:t xml:space="preserve"> e alle </w:t>
      </w:r>
      <w:hyperlink r:id="rId13" w:history="1">
        <w:r>
          <w:rPr>
            <w:rStyle w:val="Collegamentoipertestuale"/>
            <w:rFonts w:ascii="Oracle Sans" w:hAnsi="Oracle Sans"/>
            <w:lang w:eastAsia="it-IT"/>
            <w14:ligatures w14:val="none"/>
          </w:rPr>
          <w:t>API</w:t>
        </w:r>
      </w:hyperlink>
      <w:r>
        <w:rPr>
          <w:rFonts w:ascii="Oracle Sans" w:hAnsi="Oracle Sans"/>
          <w:lang w:eastAsia="it-IT"/>
          <w14:ligatures w14:val="none"/>
        </w:rPr>
        <w:t xml:space="preserve"> rese disponibili da Oracle – permetteranno alle banche di avere più visibilità, capacità di previsione e controllo sulla liquidità, per aiutare i loro clienti “corporate” a sfruttare la liquidità in modo più efficace.  Inoltre, Oracle ha introdotto nuovi miglioramenti nei servizi cloud </w:t>
      </w:r>
      <w:hyperlink r:id="rId14" w:history="1">
        <w:r>
          <w:rPr>
            <w:rStyle w:val="Collegamentoipertestuale"/>
            <w:rFonts w:ascii="Oracle Sans" w:hAnsi="Oracle Sans"/>
            <w:lang w:eastAsia="it-IT"/>
            <w14:ligatures w14:val="none"/>
          </w:rPr>
          <w:t>Oracle Banking Accounts</w:t>
        </w:r>
      </w:hyperlink>
      <w:r>
        <w:rPr>
          <w:rFonts w:ascii="Oracle Sans" w:hAnsi="Oracle Sans"/>
          <w:lang w:eastAsia="it-IT"/>
          <w14:ligatures w14:val="none"/>
        </w:rPr>
        <w:t xml:space="preserve"> e </w:t>
      </w:r>
      <w:hyperlink r:id="rId15" w:history="1">
        <w:r>
          <w:rPr>
            <w:rStyle w:val="Collegamentoipertestuale"/>
            <w:rFonts w:ascii="Oracle Sans" w:hAnsi="Oracle Sans"/>
            <w:lang w:eastAsia="it-IT"/>
            <w14:ligatures w14:val="none"/>
          </w:rPr>
          <w:t xml:space="preserve">Oracle Banking Enterprise Limits and </w:t>
        </w:r>
        <w:proofErr w:type="spellStart"/>
        <w:r>
          <w:rPr>
            <w:rStyle w:val="Collegamentoipertestuale"/>
            <w:rFonts w:ascii="Oracle Sans" w:hAnsi="Oracle Sans"/>
            <w:lang w:eastAsia="it-IT"/>
            <w14:ligatures w14:val="none"/>
          </w:rPr>
          <w:t>Collateral</w:t>
        </w:r>
        <w:proofErr w:type="spellEnd"/>
        <w:r>
          <w:rPr>
            <w:rStyle w:val="Collegamentoipertestuale"/>
            <w:rFonts w:ascii="Oracle Sans" w:hAnsi="Oracle Sans"/>
            <w:lang w:eastAsia="it-IT"/>
            <w14:ligatures w14:val="none"/>
          </w:rPr>
          <w:t xml:space="preserve"> Management</w:t>
        </w:r>
      </w:hyperlink>
      <w:r>
        <w:rPr>
          <w:rFonts w:ascii="Oracle Sans" w:hAnsi="Oracle Sans"/>
          <w:lang w:eastAsia="it-IT"/>
          <w14:ligatures w14:val="none"/>
        </w:rPr>
        <w:t>.</w:t>
      </w:r>
    </w:p>
    <w:p w14:paraId="0CF1BB25" w14:textId="77777777" w:rsidR="007005F8" w:rsidRDefault="007005F8" w:rsidP="007005F8">
      <w:pPr>
        <w:rPr>
          <w:rFonts w:ascii="Oracle Sans" w:hAnsi="Oracle Sans"/>
          <w:lang w:eastAsia="it-IT"/>
          <w14:ligatures w14:val="none"/>
        </w:rPr>
      </w:pPr>
    </w:p>
    <w:p w14:paraId="30A52F91" w14:textId="77777777" w:rsidR="007005F8" w:rsidRDefault="007005F8" w:rsidP="007005F8">
      <w:pPr>
        <w:rPr>
          <w:rFonts w:ascii="Oracle Sans" w:hAnsi="Oracle Sans"/>
          <w:lang w:eastAsia="it-IT"/>
          <w14:ligatures w14:val="none"/>
        </w:rPr>
      </w:pPr>
      <w:r>
        <w:rPr>
          <w:rFonts w:ascii="Oracle Sans" w:hAnsi="Oracle Sans"/>
          <w:lang w:eastAsia="it-IT"/>
          <w14:ligatures w14:val="none"/>
        </w:rPr>
        <w:t>"</w:t>
      </w:r>
      <w:r>
        <w:rPr>
          <w:rFonts w:ascii="Oracle Sans" w:hAnsi="Oracle Sans"/>
          <w:i/>
          <w:iCs/>
          <w:lang w:eastAsia="it-IT"/>
          <w14:ligatures w14:val="none"/>
        </w:rPr>
        <w:t>Irrinunciabile per la crescita delle banche nel prossimo futuro sarà riuscire ad offrire esperienze più complete ai clienti e al personale bancario, con soluzioni che producano valore in modo immediato e tangibil</w:t>
      </w:r>
      <w:r>
        <w:rPr>
          <w:rFonts w:ascii="Oracle Sans" w:hAnsi="Oracle Sans"/>
          <w:lang w:eastAsia="it-IT"/>
          <w14:ligatures w14:val="none"/>
        </w:rPr>
        <w:t xml:space="preserve">e”  ha dichiarato </w:t>
      </w:r>
      <w:r>
        <w:rPr>
          <w:rFonts w:ascii="Oracle Sans" w:hAnsi="Oracle Sans"/>
          <w:b/>
          <w:bCs/>
          <w:lang w:eastAsia="it-IT"/>
          <w14:ligatures w14:val="none"/>
        </w:rPr>
        <w:t xml:space="preserve">Sonny Singh, executive vice </w:t>
      </w:r>
      <w:proofErr w:type="spellStart"/>
      <w:r>
        <w:rPr>
          <w:rFonts w:ascii="Oracle Sans" w:hAnsi="Oracle Sans"/>
          <w:b/>
          <w:bCs/>
          <w:lang w:eastAsia="it-IT"/>
          <w14:ligatures w14:val="none"/>
        </w:rPr>
        <w:t>president</w:t>
      </w:r>
      <w:proofErr w:type="spellEnd"/>
      <w:r>
        <w:rPr>
          <w:rFonts w:ascii="Oracle Sans" w:hAnsi="Oracle Sans"/>
          <w:b/>
          <w:bCs/>
          <w:lang w:eastAsia="it-IT"/>
          <w14:ligatures w14:val="none"/>
        </w:rPr>
        <w:t xml:space="preserve"> and general manager,  Oracle Financial Services</w:t>
      </w:r>
      <w:r>
        <w:rPr>
          <w:rFonts w:ascii="Oracle Sans" w:hAnsi="Oracle Sans"/>
          <w:lang w:eastAsia="it-IT"/>
          <w14:ligatures w14:val="none"/>
        </w:rPr>
        <w:t>. "</w:t>
      </w:r>
      <w:r>
        <w:rPr>
          <w:rFonts w:ascii="Oracle Sans" w:hAnsi="Oracle Sans"/>
          <w:i/>
          <w:iCs/>
          <w:lang w:eastAsia="it-IT"/>
          <w14:ligatures w14:val="none"/>
        </w:rPr>
        <w:t>Con Oracle Banking Cloud Services, le banche possono creare e lanciare rapidamente offerte di servizi bancari molto differenziati su pagamenti e transazioni, che permettono ai clienti di ottimizzare la liquidità e avere chiara visione della loro situazione in termini di capitale, così da poter affrontare al meglio le sfide e le opportunità di un mercato sempre più volatile.</w:t>
      </w:r>
      <w:r>
        <w:rPr>
          <w:rFonts w:ascii="Oracle Sans" w:hAnsi="Oracle Sans"/>
          <w:lang w:eastAsia="it-IT"/>
          <w14:ligatures w14:val="none"/>
        </w:rPr>
        <w:t>"</w:t>
      </w:r>
    </w:p>
    <w:p w14:paraId="4C1E9F33" w14:textId="77777777" w:rsidR="007005F8" w:rsidRDefault="007005F8" w:rsidP="007005F8">
      <w:pPr>
        <w:rPr>
          <w:rFonts w:ascii="Oracle Sans" w:hAnsi="Oracle Sans"/>
          <w:lang w:eastAsia="it-IT"/>
          <w14:ligatures w14:val="none"/>
        </w:rPr>
      </w:pPr>
    </w:p>
    <w:p w14:paraId="4DCE32FB" w14:textId="77777777" w:rsidR="007005F8" w:rsidRDefault="007005F8" w:rsidP="007005F8">
      <w:pPr>
        <w:rPr>
          <w:rFonts w:ascii="Oracle Sans" w:hAnsi="Oracle Sans"/>
          <w:b/>
          <w:bCs/>
          <w:lang w:eastAsia="it-IT"/>
          <w14:ligatures w14:val="none"/>
        </w:rPr>
      </w:pPr>
      <w:r>
        <w:rPr>
          <w:rFonts w:ascii="Oracle Sans" w:hAnsi="Oracle Sans"/>
          <w:b/>
          <w:bCs/>
          <w:lang w:eastAsia="it-IT"/>
          <w14:ligatures w14:val="none"/>
        </w:rPr>
        <w:t xml:space="preserve">Mettere fine al “caos” nella gestione di cassa </w:t>
      </w:r>
    </w:p>
    <w:p w14:paraId="7A869DA6" w14:textId="77777777" w:rsidR="007005F8" w:rsidRDefault="007005F8" w:rsidP="007005F8">
      <w:pPr>
        <w:rPr>
          <w:rFonts w:ascii="Oracle Sans" w:hAnsi="Oracle Sans"/>
          <w:lang w:eastAsia="it-IT"/>
          <w14:ligatures w14:val="none"/>
        </w:rPr>
      </w:pPr>
      <w:r>
        <w:rPr>
          <w:rFonts w:ascii="Oracle Sans" w:hAnsi="Oracle Sans"/>
          <w:lang w:eastAsia="it-IT"/>
          <w14:ligatures w14:val="none"/>
        </w:rPr>
        <w:t>Negli USA si stima che ben 1</w:t>
      </w:r>
      <w:hyperlink r:id="rId16" w:history="1">
        <w:r>
          <w:rPr>
            <w:rStyle w:val="Collegamentoipertestuale"/>
            <w:rFonts w:ascii="Oracle Sans" w:hAnsi="Oracle Sans"/>
            <w:lang w:eastAsia="it-IT"/>
            <w14:ligatures w14:val="none"/>
          </w:rPr>
          <w:t xml:space="preserve">,7 trilioni (cioè miliardi di </w:t>
        </w:r>
        <w:proofErr w:type="spellStart"/>
        <w:r>
          <w:rPr>
            <w:rStyle w:val="Collegamentoipertestuale"/>
            <w:rFonts w:ascii="Oracle Sans" w:hAnsi="Oracle Sans"/>
            <w:lang w:eastAsia="it-IT"/>
            <w14:ligatures w14:val="none"/>
          </w:rPr>
          <w:t>milardi</w:t>
        </w:r>
        <w:proofErr w:type="spellEnd"/>
        <w:r>
          <w:rPr>
            <w:rStyle w:val="Collegamentoipertestuale"/>
            <w:rFonts w:ascii="Oracle Sans" w:hAnsi="Oracle Sans"/>
            <w:lang w:eastAsia="it-IT"/>
            <w14:ligatures w14:val="none"/>
          </w:rPr>
          <w:t>) di dollari siano vincolati al capitale circolante</w:t>
        </w:r>
      </w:hyperlink>
      <w:r>
        <w:rPr>
          <w:rFonts w:ascii="Oracle Sans" w:hAnsi="Oracle Sans"/>
          <w:lang w:eastAsia="it-IT"/>
          <w14:ligatures w14:val="none"/>
        </w:rPr>
        <w:t xml:space="preserve">: a fronte di ciò, le aziende desiderano potenziare la gestione della liquidità e di ottimizzare l'immissione di credito, due aspetti fondamentali per la </w:t>
      </w:r>
      <w:r>
        <w:rPr>
          <w:rFonts w:ascii="Oracle Sans" w:hAnsi="Oracle Sans"/>
          <w:i/>
          <w:iCs/>
          <w:lang w:eastAsia="it-IT"/>
          <w14:ligatures w14:val="none"/>
        </w:rPr>
        <w:t>performance</w:t>
      </w:r>
      <w:r>
        <w:rPr>
          <w:rFonts w:ascii="Oracle Sans" w:hAnsi="Oracle Sans"/>
          <w:lang w:eastAsia="it-IT"/>
          <w14:ligatures w14:val="none"/>
        </w:rPr>
        <w:t xml:space="preserve"> e la redditività aziendale.</w:t>
      </w:r>
    </w:p>
    <w:p w14:paraId="195ADAAD" w14:textId="77777777" w:rsidR="007005F8" w:rsidRDefault="007005F8" w:rsidP="007005F8">
      <w:pPr>
        <w:spacing w:before="100" w:beforeAutospacing="1" w:after="100" w:afterAutospacing="1"/>
        <w:rPr>
          <w:rFonts w:ascii="Oracle Sans" w:hAnsi="Oracle Sans"/>
          <w:lang w:eastAsia="it-IT"/>
          <w14:ligatures w14:val="none"/>
        </w:rPr>
      </w:pPr>
      <w:r>
        <w:rPr>
          <w:rFonts w:ascii="Oracle Sans" w:hAnsi="Oracle Sans"/>
          <w:lang w:eastAsia="it-IT"/>
          <w14:ligatures w14:val="none"/>
        </w:rPr>
        <w:t xml:space="preserve">Grazie alla possibilità di essere integrate direttamente all'interno dei flussi ERP (Enterprise </w:t>
      </w:r>
      <w:proofErr w:type="spellStart"/>
      <w:r>
        <w:rPr>
          <w:rFonts w:ascii="Oracle Sans" w:hAnsi="Oracle Sans"/>
          <w:lang w:eastAsia="it-IT"/>
          <w14:ligatures w14:val="none"/>
        </w:rPr>
        <w:t>Resources</w:t>
      </w:r>
      <w:proofErr w:type="spellEnd"/>
      <w:r>
        <w:rPr>
          <w:rFonts w:ascii="Oracle Sans" w:hAnsi="Oracle Sans"/>
          <w:lang w:eastAsia="it-IT"/>
          <w14:ligatures w14:val="none"/>
        </w:rPr>
        <w:t xml:space="preserve"> Management) e dei sistemi ad essi correlati, le nuove soluzioni consentono di gestire in tempo reale pagamenti e regolamenti di cassa e di ottimizzare il ciclo di cassa come mai in precedenza.  </w:t>
      </w:r>
    </w:p>
    <w:p w14:paraId="4D83CB94" w14:textId="77777777" w:rsidR="007005F8" w:rsidRDefault="007005F8" w:rsidP="007005F8">
      <w:pPr>
        <w:spacing w:before="100" w:beforeAutospacing="1" w:after="100" w:afterAutospacing="1"/>
        <w:rPr>
          <w:rFonts w:ascii="Oracle Sans" w:hAnsi="Oracle Sans"/>
          <w:lang w:eastAsia="it-IT"/>
          <w14:ligatures w14:val="none"/>
        </w:rPr>
      </w:pPr>
      <w:r>
        <w:rPr>
          <w:rFonts w:ascii="Oracle Sans" w:hAnsi="Oracle Sans"/>
          <w:lang w:eastAsia="it-IT"/>
          <w14:ligatures w14:val="none"/>
        </w:rPr>
        <w:t xml:space="preserve">Inoltre, i nuovi miglioramenti apportati alle </w:t>
      </w:r>
      <w:hyperlink r:id="rId17" w:history="1">
        <w:r>
          <w:rPr>
            <w:rStyle w:val="Collegamentoipertestuale"/>
            <w:rFonts w:ascii="Oracle Sans" w:hAnsi="Oracle Sans"/>
            <w:lang w:eastAsia="it-IT"/>
            <w14:ligatures w14:val="none"/>
          </w:rPr>
          <w:t>funzionalità di gestione dei limiti e delle garanzie</w:t>
        </w:r>
      </w:hyperlink>
      <w:r>
        <w:rPr>
          <w:rFonts w:ascii="Oracle Sans" w:hAnsi="Oracle Sans"/>
          <w:lang w:eastAsia="it-IT"/>
          <w14:ligatures w14:val="none"/>
        </w:rPr>
        <w:t xml:space="preserve"> consentono alle banche di digitalizzare e semplificare rapidamente l'intero ciclo di vita delle linee di credito, in modo da poter rendere attivi nel giro di pochi minuti, e non più di mesi, i clienti corporate.</w:t>
      </w:r>
    </w:p>
    <w:p w14:paraId="5425D776" w14:textId="77777777" w:rsidR="007005F8" w:rsidRDefault="007005F8" w:rsidP="007005F8">
      <w:pPr>
        <w:spacing w:before="100" w:beforeAutospacing="1" w:after="100" w:afterAutospacing="1"/>
        <w:rPr>
          <w:rFonts w:ascii="Oracle Sans" w:hAnsi="Oracle Sans"/>
          <w:lang w:eastAsia="it-IT"/>
          <w14:ligatures w14:val="none"/>
        </w:rPr>
      </w:pPr>
      <w:r>
        <w:rPr>
          <w:rFonts w:ascii="Oracle Sans" w:hAnsi="Oracle Sans"/>
          <w:lang w:eastAsia="it-IT"/>
          <w14:ligatures w14:val="none"/>
        </w:rPr>
        <w:t xml:space="preserve">Banking Accounts Cloud Service supporta ora anche i conti corrente di tipo </w:t>
      </w:r>
      <w:r>
        <w:rPr>
          <w:rFonts w:ascii="Oracle Sans" w:hAnsi="Oracle Sans"/>
          <w:i/>
          <w:iCs/>
          <w:lang w:eastAsia="it-IT"/>
          <w14:ligatures w14:val="none"/>
        </w:rPr>
        <w:t>retail,</w:t>
      </w:r>
      <w:r>
        <w:rPr>
          <w:rFonts w:ascii="Oracle Sans" w:hAnsi="Oracle Sans"/>
          <w:lang w:eastAsia="it-IT"/>
          <w14:ligatures w14:val="none"/>
        </w:rPr>
        <w:t xml:space="preserve"> i depositi a termine per clienti singoli e aziendali; inoltre offre un “motore centralizzato” per la contabilità, che snellisce e ottimizza la gestione dei conti e l’operatività di tutto l’istituto bancario, con un throughput elevato. Utilizzando le </w:t>
      </w:r>
      <w:hyperlink r:id="rId18" w:history="1">
        <w:r>
          <w:rPr>
            <w:rStyle w:val="Collegamentoipertestuale"/>
            <w:rFonts w:ascii="Oracle Sans" w:hAnsi="Oracle Sans"/>
            <w:lang w:eastAsia="it-IT"/>
            <w14:ligatures w14:val="none"/>
          </w:rPr>
          <w:t>API per i servizi cloud</w:t>
        </w:r>
      </w:hyperlink>
      <w:r>
        <w:rPr>
          <w:rFonts w:ascii="Oracle Sans" w:hAnsi="Oracle Sans"/>
          <w:lang w:eastAsia="it-IT"/>
          <w14:ligatures w14:val="none"/>
        </w:rPr>
        <w:t xml:space="preserve"> disponibili, le banche possono personalizzare rapidamente l’offerta, incorporare e gestire i conti correnti attraverso canali e </w:t>
      </w:r>
      <w:r>
        <w:rPr>
          <w:rFonts w:ascii="Oracle Sans" w:hAnsi="Oracle Sans"/>
          <w:i/>
          <w:iCs/>
          <w:lang w:eastAsia="it-IT"/>
          <w14:ligatures w14:val="none"/>
        </w:rPr>
        <w:t>touch-point</w:t>
      </w:r>
      <w:r>
        <w:rPr>
          <w:rFonts w:ascii="Oracle Sans" w:hAnsi="Oracle Sans"/>
          <w:lang w:eastAsia="it-IT"/>
          <w14:ligatures w14:val="none"/>
        </w:rPr>
        <w:t xml:space="preserve"> digitali, sia propri sia dei propri partner. </w:t>
      </w:r>
    </w:p>
    <w:p w14:paraId="4AC7BCE2" w14:textId="77777777" w:rsidR="007005F8" w:rsidRDefault="007005F8" w:rsidP="007005F8">
      <w:pPr>
        <w:spacing w:before="100" w:beforeAutospacing="1" w:after="100" w:afterAutospacing="1"/>
        <w:rPr>
          <w:rFonts w:ascii="Oracle Sans" w:hAnsi="Oracle Sans"/>
          <w:b/>
          <w:bCs/>
          <w:lang w:eastAsia="it-IT"/>
          <w14:ligatures w14:val="none"/>
        </w:rPr>
      </w:pPr>
      <w:r>
        <w:rPr>
          <w:rFonts w:ascii="Oracle Sans" w:hAnsi="Oracle Sans"/>
          <w:b/>
          <w:bCs/>
          <w:lang w:eastAsia="it-IT"/>
          <w14:ligatures w14:val="none"/>
        </w:rPr>
        <w:lastRenderedPageBreak/>
        <w:t>Tutte le novità, i miglioramenti e i servizi aggiuntivi disponibili da oggi in Oracle Banking Cloud Services</w:t>
      </w:r>
    </w:p>
    <w:p w14:paraId="6BA5FCF8" w14:textId="77777777" w:rsidR="007005F8" w:rsidRDefault="007005F8" w:rsidP="007005F8">
      <w:pPr>
        <w:pStyle w:val="Paragrafoelenco"/>
        <w:numPr>
          <w:ilvl w:val="0"/>
          <w:numId w:val="1"/>
        </w:numPr>
        <w:spacing w:before="100" w:beforeAutospacing="1" w:after="100" w:afterAutospacing="1" w:line="240" w:lineRule="auto"/>
        <w:rPr>
          <w:rFonts w:ascii="Oracle Sans" w:eastAsia="Times New Roman" w:hAnsi="Oracle Sans"/>
          <w:lang w:eastAsia="it-IT"/>
          <w14:ligatures w14:val="none"/>
        </w:rPr>
      </w:pPr>
      <w:r>
        <w:rPr>
          <w:rFonts w:ascii="Oracle Sans" w:eastAsia="Times New Roman" w:hAnsi="Oracle Sans"/>
          <w:b/>
          <w:bCs/>
          <w:lang w:eastAsia="it-IT"/>
          <w14:ligatures w14:val="none"/>
        </w:rPr>
        <w:t xml:space="preserve">Oracle Banking </w:t>
      </w:r>
      <w:proofErr w:type="spellStart"/>
      <w:r>
        <w:rPr>
          <w:rFonts w:ascii="Oracle Sans" w:eastAsia="Times New Roman" w:hAnsi="Oracle Sans"/>
          <w:b/>
          <w:bCs/>
          <w:lang w:eastAsia="it-IT"/>
          <w14:ligatures w14:val="none"/>
        </w:rPr>
        <w:t>Liquidity</w:t>
      </w:r>
      <w:proofErr w:type="spellEnd"/>
      <w:r>
        <w:rPr>
          <w:rFonts w:ascii="Oracle Sans" w:eastAsia="Times New Roman" w:hAnsi="Oracle Sans"/>
          <w:b/>
          <w:bCs/>
          <w:lang w:eastAsia="it-IT"/>
          <w14:ligatures w14:val="none"/>
        </w:rPr>
        <w:t xml:space="preserve"> Management Cloud Service</w:t>
      </w:r>
      <w:r>
        <w:rPr>
          <w:rFonts w:ascii="Oracle Sans" w:eastAsia="Times New Roman" w:hAnsi="Oracle Sans"/>
          <w:lang w:eastAsia="it-IT"/>
          <w14:ligatures w14:val="none"/>
        </w:rPr>
        <w:t xml:space="preserve">: offre ulteriori possibilità di investimento a più alto rendimento e funzionalità chiave come il pooling, lo </w:t>
      </w:r>
      <w:proofErr w:type="spellStart"/>
      <w:r>
        <w:rPr>
          <w:rFonts w:ascii="Oracle Sans" w:eastAsia="Times New Roman" w:hAnsi="Oracle Sans"/>
          <w:lang w:eastAsia="it-IT"/>
          <w14:ligatures w14:val="none"/>
        </w:rPr>
        <w:t>sweeping</w:t>
      </w:r>
      <w:proofErr w:type="spellEnd"/>
      <w:r>
        <w:rPr>
          <w:rFonts w:ascii="Oracle Sans" w:eastAsia="Times New Roman" w:hAnsi="Oracle Sans"/>
          <w:lang w:eastAsia="it-IT"/>
          <w14:ligatures w14:val="none"/>
        </w:rPr>
        <w:t xml:space="preserve"> e l'ottimizzazione degli interessi. Con questo servizio le banche possono consentire alle aziende di gestire il capitale circolante in modo più efficiente, migliorare l'accessibilità ai finanziamenti interni ed esterni e automatizzare i processi e i sistemi back-end.</w:t>
      </w:r>
    </w:p>
    <w:p w14:paraId="59E6B240" w14:textId="77777777" w:rsidR="007005F8" w:rsidRDefault="007005F8" w:rsidP="007005F8">
      <w:pPr>
        <w:pStyle w:val="Paragrafoelenco"/>
        <w:numPr>
          <w:ilvl w:val="0"/>
          <w:numId w:val="1"/>
        </w:numPr>
        <w:spacing w:before="100" w:beforeAutospacing="1" w:after="100" w:afterAutospacing="1" w:line="240" w:lineRule="auto"/>
        <w:rPr>
          <w:rFonts w:ascii="Oracle Sans" w:eastAsia="Times New Roman" w:hAnsi="Oracle Sans"/>
          <w:lang w:eastAsia="it-IT"/>
          <w14:ligatures w14:val="none"/>
        </w:rPr>
      </w:pPr>
      <w:r>
        <w:rPr>
          <w:rFonts w:ascii="Oracle Sans" w:eastAsia="Times New Roman" w:hAnsi="Oracle Sans"/>
          <w:b/>
          <w:bCs/>
          <w:lang w:eastAsia="it-IT"/>
          <w14:ligatures w14:val="none"/>
        </w:rPr>
        <w:t>Oracle Banking Virtual Account Management Cloud Service</w:t>
      </w:r>
      <w:r>
        <w:rPr>
          <w:rFonts w:ascii="Oracle Sans" w:eastAsia="Times New Roman" w:hAnsi="Oracle Sans"/>
          <w:lang w:eastAsia="it-IT"/>
          <w14:ligatures w14:val="none"/>
        </w:rPr>
        <w:t>: consente alle banche di fornire alle aziende strumenti per ottenere maggior chiarezza sul capitale, controllare il capitale circolante e gestire efficacemente complesse strutture di conti a livello globale.</w:t>
      </w:r>
    </w:p>
    <w:p w14:paraId="02511A58" w14:textId="77777777" w:rsidR="007005F8" w:rsidRDefault="007005F8" w:rsidP="007005F8">
      <w:pPr>
        <w:pStyle w:val="Paragrafoelenco"/>
        <w:numPr>
          <w:ilvl w:val="0"/>
          <w:numId w:val="1"/>
        </w:numPr>
        <w:spacing w:before="100" w:beforeAutospacing="1" w:after="100" w:afterAutospacing="1" w:line="240" w:lineRule="auto"/>
        <w:rPr>
          <w:rFonts w:ascii="Oracle Sans" w:eastAsia="Times New Roman" w:hAnsi="Oracle Sans"/>
          <w:lang w:eastAsia="it-IT"/>
          <w14:ligatures w14:val="none"/>
        </w:rPr>
      </w:pPr>
      <w:r>
        <w:rPr>
          <w:rFonts w:ascii="Oracle Sans" w:eastAsia="Times New Roman" w:hAnsi="Oracle Sans"/>
          <w:b/>
          <w:bCs/>
          <w:lang w:eastAsia="it-IT"/>
          <w14:ligatures w14:val="none"/>
        </w:rPr>
        <w:t>Oracle Banking Cash Management Cloud Service</w:t>
      </w:r>
      <w:r>
        <w:rPr>
          <w:rFonts w:ascii="Oracle Sans" w:eastAsia="Times New Roman" w:hAnsi="Oracle Sans"/>
          <w:lang w:eastAsia="it-IT"/>
          <w14:ligatures w14:val="none"/>
        </w:rPr>
        <w:t>: consente alle banche di aiutare le aziende clienti a ottimizzare la gestione del capitale circolante con previsioni accurate dei flussi di cassa, gestione efficiente degli incassi e dei crediti e riconciliazione automatizzata.</w:t>
      </w:r>
    </w:p>
    <w:p w14:paraId="7C6C5451" w14:textId="77777777" w:rsidR="007005F8" w:rsidRDefault="007005F8" w:rsidP="007005F8">
      <w:pPr>
        <w:pStyle w:val="Paragrafoelenco"/>
        <w:numPr>
          <w:ilvl w:val="0"/>
          <w:numId w:val="1"/>
        </w:numPr>
        <w:spacing w:before="100" w:beforeAutospacing="1" w:after="100" w:afterAutospacing="1" w:line="240" w:lineRule="auto"/>
        <w:rPr>
          <w:rFonts w:ascii="Oracle Sans" w:eastAsia="Times New Roman" w:hAnsi="Oracle Sans"/>
          <w:lang w:eastAsia="it-IT"/>
          <w14:ligatures w14:val="none"/>
        </w:rPr>
      </w:pPr>
      <w:r>
        <w:rPr>
          <w:rFonts w:ascii="Oracle Sans" w:eastAsia="Times New Roman" w:hAnsi="Oracle Sans"/>
          <w:b/>
          <w:bCs/>
          <w:lang w:eastAsia="it-IT"/>
          <w14:ligatures w14:val="none"/>
        </w:rPr>
        <w:t xml:space="preserve">Oracle Banking Enterprise Limits and </w:t>
      </w:r>
      <w:proofErr w:type="spellStart"/>
      <w:r>
        <w:rPr>
          <w:rFonts w:ascii="Oracle Sans" w:eastAsia="Times New Roman" w:hAnsi="Oracle Sans"/>
          <w:b/>
          <w:bCs/>
          <w:lang w:eastAsia="it-IT"/>
          <w14:ligatures w14:val="none"/>
        </w:rPr>
        <w:t>Collateral</w:t>
      </w:r>
      <w:proofErr w:type="spellEnd"/>
      <w:r>
        <w:rPr>
          <w:rFonts w:ascii="Oracle Sans" w:eastAsia="Times New Roman" w:hAnsi="Oracle Sans"/>
          <w:b/>
          <w:bCs/>
          <w:lang w:eastAsia="it-IT"/>
          <w14:ligatures w14:val="none"/>
        </w:rPr>
        <w:t xml:space="preserve"> Management Cloud Service</w:t>
      </w:r>
      <w:r>
        <w:rPr>
          <w:rFonts w:ascii="Oracle Sans" w:eastAsia="Times New Roman" w:hAnsi="Oracle Sans"/>
          <w:lang w:eastAsia="it-IT"/>
          <w14:ligatures w14:val="none"/>
        </w:rPr>
        <w:t>: offre processi completi e altamente configurabili che digitalizzano e semplificano l'intero ciclo di vita del credito. Il servizio semplifica l'</w:t>
      </w:r>
      <w:proofErr w:type="spellStart"/>
      <w:r>
        <w:rPr>
          <w:rFonts w:ascii="Oracle Sans" w:eastAsia="Times New Roman" w:hAnsi="Oracle Sans"/>
          <w:i/>
          <w:iCs/>
          <w:lang w:eastAsia="it-IT"/>
          <w14:ligatures w14:val="none"/>
        </w:rPr>
        <w:t>onboarding</w:t>
      </w:r>
      <w:proofErr w:type="spellEnd"/>
      <w:r>
        <w:rPr>
          <w:rFonts w:ascii="Oracle Sans" w:eastAsia="Times New Roman" w:hAnsi="Oracle Sans"/>
          <w:lang w:eastAsia="it-IT"/>
          <w14:ligatures w14:val="none"/>
        </w:rPr>
        <w:t xml:space="preserve"> di mutuatari singoli o multipli e la creazione e la gestione di limiti, garanzie e</w:t>
      </w:r>
      <w:r>
        <w:rPr>
          <w:rFonts w:ascii="Oracle Sans" w:eastAsia="Times New Roman" w:hAnsi="Oracle Sans"/>
          <w:i/>
          <w:iCs/>
          <w:lang w:eastAsia="it-IT"/>
          <w14:ligatures w14:val="none"/>
        </w:rPr>
        <w:t xml:space="preserve"> covenant</w:t>
      </w:r>
      <w:r>
        <w:rPr>
          <w:rFonts w:ascii="Oracle Sans" w:eastAsia="Times New Roman" w:hAnsi="Oracle Sans"/>
          <w:lang w:eastAsia="it-IT"/>
          <w14:ligatures w14:val="none"/>
        </w:rPr>
        <w:t xml:space="preserve"> associati per i prodotti di scoperto, prestito, commercio e tesoreria, con un'elaborazione diretta e automatizzata. Grazie a questa offerta, le banche possono ottimizzare le decisioni di credito e accelerare la creazione e la gestione del credito, riducendo al contempo i rischi aziendali.</w:t>
      </w:r>
    </w:p>
    <w:p w14:paraId="62EBAA07" w14:textId="77777777" w:rsidR="007005F8" w:rsidRDefault="007005F8" w:rsidP="007005F8">
      <w:pPr>
        <w:pStyle w:val="Paragrafoelenco"/>
        <w:numPr>
          <w:ilvl w:val="0"/>
          <w:numId w:val="1"/>
        </w:numPr>
        <w:spacing w:before="100" w:beforeAutospacing="1" w:after="100" w:afterAutospacing="1" w:line="240" w:lineRule="auto"/>
        <w:rPr>
          <w:rFonts w:ascii="Oracle Sans" w:eastAsia="Times New Roman" w:hAnsi="Oracle Sans"/>
          <w:lang w:eastAsia="it-IT"/>
          <w14:ligatures w14:val="none"/>
        </w:rPr>
      </w:pPr>
      <w:r>
        <w:rPr>
          <w:rFonts w:ascii="Oracle Sans" w:eastAsia="Times New Roman" w:hAnsi="Oracle Sans"/>
          <w:b/>
          <w:bCs/>
          <w:lang w:eastAsia="it-IT"/>
          <w14:ligatures w14:val="none"/>
        </w:rPr>
        <w:t>Oracle Banking Accounts Cloud Service</w:t>
      </w:r>
      <w:r>
        <w:rPr>
          <w:rFonts w:ascii="Oracle Sans" w:eastAsia="Times New Roman" w:hAnsi="Oracle Sans"/>
          <w:lang w:eastAsia="it-IT"/>
          <w14:ligatures w14:val="none"/>
        </w:rPr>
        <w:t xml:space="preserve">:  offre una capacità di elaborazione altamente scalabile per gestire i conti di deposito a vista, su infrastruttura Oracle </w:t>
      </w:r>
      <w:proofErr w:type="spellStart"/>
      <w:r>
        <w:rPr>
          <w:rFonts w:ascii="Oracle Sans" w:eastAsia="Times New Roman" w:hAnsi="Oracle Sans"/>
          <w:lang w:eastAsia="it-IT"/>
          <w14:ligatures w14:val="none"/>
        </w:rPr>
        <w:t>Coherence</w:t>
      </w:r>
      <w:proofErr w:type="spellEnd"/>
      <w:r>
        <w:rPr>
          <w:rFonts w:ascii="Oracle Sans" w:eastAsia="Times New Roman" w:hAnsi="Oracle Sans"/>
          <w:lang w:eastAsia="it-IT"/>
          <w14:ligatures w14:val="none"/>
        </w:rPr>
        <w:t xml:space="preserve"> </w:t>
      </w:r>
      <w:proofErr w:type="spellStart"/>
      <w:r>
        <w:rPr>
          <w:rFonts w:ascii="Oracle Sans" w:eastAsia="Times New Roman" w:hAnsi="Oracle Sans"/>
          <w:lang w:eastAsia="it-IT"/>
          <w14:ligatures w14:val="none"/>
        </w:rPr>
        <w:t>datagrid</w:t>
      </w:r>
      <w:proofErr w:type="spellEnd"/>
      <w:r>
        <w:rPr>
          <w:rFonts w:ascii="Oracle Sans" w:eastAsia="Times New Roman" w:hAnsi="Oracle Sans"/>
          <w:lang w:eastAsia="it-IT"/>
          <w14:ligatures w14:val="none"/>
        </w:rPr>
        <w:t>. Oltre ai conti business, oggi il servizio copre anche i conti retail, i depositi a termine, la gestione dei conti corrente, le operazioni di sportello e l'assistenza ai conti. Grazie al motore centralizzato del servizio, gli utenti possono semplificare e ottimizzare la gestione dei conti e le operazioni.</w:t>
      </w:r>
    </w:p>
    <w:p w14:paraId="05E6B007" w14:textId="77777777" w:rsidR="007005F8" w:rsidRDefault="007005F8" w:rsidP="007005F8">
      <w:pPr>
        <w:pStyle w:val="Paragrafoelenco"/>
        <w:numPr>
          <w:ilvl w:val="0"/>
          <w:numId w:val="1"/>
        </w:numPr>
        <w:spacing w:before="100" w:beforeAutospacing="1" w:after="100" w:afterAutospacing="1" w:line="240" w:lineRule="auto"/>
        <w:rPr>
          <w:rFonts w:ascii="Oracle Sans" w:eastAsia="Times New Roman" w:hAnsi="Oracle Sans"/>
          <w:lang w:eastAsia="it-IT"/>
          <w14:ligatures w14:val="none"/>
        </w:rPr>
      </w:pPr>
      <w:r>
        <w:rPr>
          <w:rFonts w:ascii="Oracle Sans" w:eastAsia="Times New Roman" w:hAnsi="Oracle Sans"/>
          <w:b/>
          <w:bCs/>
          <w:lang w:eastAsia="it-IT"/>
          <w14:ligatures w14:val="none"/>
        </w:rPr>
        <w:t>Oracle Banking Payments Cloud Service:</w:t>
      </w:r>
      <w:r>
        <w:rPr>
          <w:rFonts w:ascii="Oracle Sans" w:eastAsia="Times New Roman" w:hAnsi="Oracle Sans"/>
          <w:lang w:eastAsia="it-IT"/>
          <w14:ligatures w14:val="none"/>
        </w:rPr>
        <w:t xml:space="preserve"> è una soluzione di pagamento digitale che consente l'elaborazione dei pagamenti in tempo reale, ovunque e su qualsiasi scala. Costruito in modo nativo sul framework ISO 20022, il servizio cloud migliora l'elaborazione diretta e consente un'analisi dei pagamenti di alta qualità e ricca di dati. Si tratta di una soluzione certificata SWIFT, che crea un unico</w:t>
      </w:r>
      <w:r>
        <w:rPr>
          <w:rFonts w:ascii="Oracle Sans" w:eastAsia="Times New Roman" w:hAnsi="Oracle Sans"/>
          <w:i/>
          <w:iCs/>
          <w:lang w:eastAsia="it-IT"/>
          <w14:ligatures w14:val="none"/>
        </w:rPr>
        <w:t xml:space="preserve"> hub</w:t>
      </w:r>
      <w:r>
        <w:rPr>
          <w:rFonts w:ascii="Oracle Sans" w:eastAsia="Times New Roman" w:hAnsi="Oracle Sans"/>
          <w:lang w:eastAsia="it-IT"/>
          <w14:ligatures w14:val="none"/>
        </w:rPr>
        <w:t xml:space="preserve"> per tutte le transazioni di pagamento, siano esse SWIFT, SWIFT </w:t>
      </w:r>
      <w:proofErr w:type="spellStart"/>
      <w:r>
        <w:rPr>
          <w:rFonts w:ascii="Oracle Sans" w:eastAsia="Times New Roman" w:hAnsi="Oracle Sans"/>
          <w:lang w:eastAsia="it-IT"/>
          <w14:ligatures w14:val="none"/>
        </w:rPr>
        <w:t>gpi</w:t>
      </w:r>
      <w:proofErr w:type="spellEnd"/>
      <w:r>
        <w:rPr>
          <w:rFonts w:ascii="Oracle Sans" w:eastAsia="Times New Roman" w:hAnsi="Oracle Sans"/>
          <w:lang w:eastAsia="it-IT"/>
          <w14:ligatures w14:val="none"/>
        </w:rPr>
        <w:t>, SEPA, NACHA e molte altre, garantendo una gestione dei pagamenti transfrontalieri e nazionali senza confini, a basso costo ed efficiente. Il servizio cloud ottimizza, inoltre, l'efficienza delle transazioni, con una soluzione unica di elaborazione dei pagamenti che ne elabora più tipi, consentendo di ridurre i costi per ogni pagamento e di migliorare i tempi di risposta.</w:t>
      </w:r>
    </w:p>
    <w:p w14:paraId="7DFBBC14" w14:textId="77777777" w:rsidR="007005F8" w:rsidRDefault="007005F8" w:rsidP="007005F8">
      <w:pPr>
        <w:pStyle w:val="Paragrafoelenco"/>
        <w:numPr>
          <w:ilvl w:val="0"/>
          <w:numId w:val="1"/>
        </w:numPr>
        <w:spacing w:before="100" w:beforeAutospacing="1" w:after="100" w:afterAutospacing="1" w:line="240" w:lineRule="auto"/>
        <w:rPr>
          <w:rFonts w:ascii="Oracle Sans" w:eastAsia="Times New Roman" w:hAnsi="Oracle Sans"/>
          <w:lang w:eastAsia="it-IT"/>
          <w14:ligatures w14:val="none"/>
        </w:rPr>
      </w:pPr>
      <w:r>
        <w:rPr>
          <w:rFonts w:ascii="Oracle Sans" w:eastAsia="Times New Roman" w:hAnsi="Oracle Sans"/>
          <w:b/>
          <w:bCs/>
          <w:lang w:eastAsia="it-IT"/>
          <w14:ligatures w14:val="none"/>
        </w:rPr>
        <w:t>Oracle Digital Banking Experience Cloud Service</w:t>
      </w:r>
      <w:r>
        <w:rPr>
          <w:rFonts w:ascii="Oracle Sans" w:eastAsia="Times New Roman" w:hAnsi="Oracle Sans"/>
          <w:lang w:eastAsia="it-IT"/>
          <w14:ligatures w14:val="none"/>
        </w:rPr>
        <w:t xml:space="preserve">: offre alle aziende funzionalità self-service potenti e arricchite che le aiutano a raggiungere attivamente ed efficacemente gli obiettivi di business che hanno un impatto sui profitti. Il servizio cloud offre informazioni utili per migliorare il processo decisionale e ampie funzionalità self-service e di automazione che aiutano a digitalizzare i crediti, a migliorare le posizioni di liquidità e a gestire meglio la supply chain </w:t>
      </w:r>
      <w:proofErr w:type="spellStart"/>
      <w:r>
        <w:rPr>
          <w:rFonts w:ascii="Oracle Sans" w:eastAsia="Times New Roman" w:hAnsi="Oracle Sans"/>
          <w:lang w:eastAsia="it-IT"/>
          <w14:ligatures w14:val="none"/>
        </w:rPr>
        <w:t>finance</w:t>
      </w:r>
      <w:proofErr w:type="spellEnd"/>
      <w:r>
        <w:rPr>
          <w:rFonts w:ascii="Oracle Sans" w:eastAsia="Times New Roman" w:hAnsi="Oracle Sans"/>
          <w:lang w:eastAsia="it-IT"/>
          <w14:ligatures w14:val="none"/>
        </w:rPr>
        <w:t>.</w:t>
      </w:r>
    </w:p>
    <w:p w14:paraId="3D6B4CAB" w14:textId="77777777" w:rsidR="007005F8" w:rsidRDefault="007005F8" w:rsidP="007005F8">
      <w:pPr>
        <w:pStyle w:val="Paragrafoelenco"/>
        <w:numPr>
          <w:ilvl w:val="0"/>
          <w:numId w:val="1"/>
        </w:numPr>
        <w:spacing w:before="100" w:beforeAutospacing="1" w:after="100" w:afterAutospacing="1" w:line="240" w:lineRule="auto"/>
        <w:rPr>
          <w:rFonts w:ascii="Oracle Sans" w:eastAsia="Times New Roman" w:hAnsi="Oracle Sans"/>
          <w:lang w:eastAsia="it-IT"/>
          <w14:ligatures w14:val="none"/>
        </w:rPr>
      </w:pPr>
      <w:r>
        <w:rPr>
          <w:rFonts w:ascii="Oracle Sans" w:eastAsia="Times New Roman" w:hAnsi="Oracle Sans"/>
          <w:b/>
          <w:bCs/>
          <w:lang w:eastAsia="it-IT"/>
          <w14:ligatures w14:val="none"/>
        </w:rPr>
        <w:t xml:space="preserve">Oracle Banking </w:t>
      </w:r>
      <w:proofErr w:type="spellStart"/>
      <w:r>
        <w:rPr>
          <w:rFonts w:ascii="Oracle Sans" w:eastAsia="Times New Roman" w:hAnsi="Oracle Sans"/>
          <w:b/>
          <w:bCs/>
          <w:lang w:eastAsia="it-IT"/>
          <w14:ligatures w14:val="none"/>
        </w:rPr>
        <w:t>APIs</w:t>
      </w:r>
      <w:proofErr w:type="spellEnd"/>
      <w:r>
        <w:rPr>
          <w:rFonts w:ascii="Oracle Sans" w:eastAsia="Times New Roman" w:hAnsi="Oracle Sans"/>
          <w:b/>
          <w:bCs/>
          <w:lang w:eastAsia="it-IT"/>
          <w14:ligatures w14:val="none"/>
        </w:rPr>
        <w:t xml:space="preserve"> Cloud Service</w:t>
      </w:r>
      <w:r>
        <w:rPr>
          <w:rFonts w:ascii="Oracle Sans" w:eastAsia="Times New Roman" w:hAnsi="Oracle Sans"/>
          <w:lang w:eastAsia="it-IT"/>
          <w14:ligatures w14:val="none"/>
        </w:rPr>
        <w:t xml:space="preserve">: questa offerta API specifica per il mondo bancario comprende 1.800 API bancarie di livello base ed evoluto, pronte per l'uso. Ciò consente agli istituti bancari di sfruttare un approccio Open Banking per accelerare l'innovazione, rispettando al contempo i requisiti normativi. Il servizio cloud contribuisce, inoltre, a migliorare l'esperienza offerta ai clienti e a creare nuove opportunità di guadagno, incorporando in modo efficiente i servizi bancari nei canali digitali dei partner, nei diversi punti di contatto e nei diversi ecosistemi. Il servizio è conforme alla versione 1.3.6 degli standard del Gruppo </w:t>
      </w:r>
      <w:proofErr w:type="spellStart"/>
      <w:r>
        <w:rPr>
          <w:rFonts w:ascii="Oracle Sans" w:eastAsia="Times New Roman" w:hAnsi="Oracle Sans"/>
          <w:lang w:eastAsia="it-IT"/>
          <w14:ligatures w14:val="none"/>
        </w:rPr>
        <w:t>Berlin</w:t>
      </w:r>
      <w:proofErr w:type="spellEnd"/>
      <w:r>
        <w:rPr>
          <w:rFonts w:ascii="Oracle Sans" w:eastAsia="Times New Roman" w:hAnsi="Oracle Sans"/>
          <w:lang w:eastAsia="it-IT"/>
          <w14:ligatures w14:val="none"/>
        </w:rPr>
        <w:t xml:space="preserve"> e alla </w:t>
      </w:r>
      <w:r>
        <w:rPr>
          <w:rFonts w:ascii="Oracle Sans" w:eastAsia="Times New Roman" w:hAnsi="Oracle Sans"/>
          <w:lang w:eastAsia="it-IT"/>
          <w14:ligatures w14:val="none"/>
        </w:rPr>
        <w:lastRenderedPageBreak/>
        <w:t xml:space="preserve">versione 3.1.2 dello standard Open Banking del Regno Unito della </w:t>
      </w:r>
      <w:proofErr w:type="spellStart"/>
      <w:r>
        <w:rPr>
          <w:rFonts w:ascii="Oracle Sans" w:eastAsia="Times New Roman" w:hAnsi="Oracle Sans"/>
          <w:lang w:eastAsia="it-IT"/>
          <w14:ligatures w14:val="none"/>
        </w:rPr>
        <w:t>Competition</w:t>
      </w:r>
      <w:proofErr w:type="spellEnd"/>
      <w:r>
        <w:rPr>
          <w:rFonts w:ascii="Oracle Sans" w:eastAsia="Times New Roman" w:hAnsi="Oracle Sans"/>
          <w:lang w:eastAsia="it-IT"/>
          <w14:ligatures w14:val="none"/>
        </w:rPr>
        <w:t xml:space="preserve"> and Markets Authority (CMA).</w:t>
      </w:r>
    </w:p>
    <w:p w14:paraId="58690A45" w14:textId="77777777" w:rsidR="007005F8" w:rsidRDefault="007005F8" w:rsidP="007005F8">
      <w:pPr>
        <w:rPr>
          <w:rFonts w:ascii="Oracle Sans" w:hAnsi="Oracle Sans"/>
          <w:lang w:eastAsia="it-IT"/>
          <w14:ligatures w14:val="none"/>
        </w:rPr>
      </w:pPr>
      <w:r>
        <w:rPr>
          <w:rFonts w:ascii="Oracle Sans" w:hAnsi="Oracle Sans"/>
          <w:lang w:eastAsia="it-IT"/>
          <w14:ligatures w14:val="none"/>
        </w:rPr>
        <w:t xml:space="preserve">Queste offerte fanno parte della più ampia suite di servizi </w:t>
      </w:r>
      <w:r>
        <w:rPr>
          <w:rFonts w:ascii="Oracle Sans" w:hAnsi="Oracle Sans"/>
          <w:i/>
          <w:iCs/>
          <w:lang w:eastAsia="it-IT"/>
          <w14:ligatures w14:val="none"/>
        </w:rPr>
        <w:t xml:space="preserve">cloud-native </w:t>
      </w:r>
      <w:r>
        <w:rPr>
          <w:rFonts w:ascii="Oracle Sans" w:hAnsi="Oracle Sans"/>
          <w:lang w:eastAsia="it-IT"/>
          <w14:ligatures w14:val="none"/>
        </w:rPr>
        <w:t xml:space="preserve">Oracle Banking Cloud Services, suddivisi in componenti e componibili. Costruiti su un'architettura a microservizi, questi servizi aiutano le banche a modernizzare le loro capacità più velocemente e con meno rischi. I servizi possono essere eseguiti autonomamente o funzionare insieme senza problemi e coesistere con le applicazioni esistenti, per offrire un provisioning e una disponibilità più rapidi – nel giro di pochi minuti. Sono inoltre dotati di patch automatizzate e permettono di gestire in tempo ridotti il passaggio al </w:t>
      </w:r>
      <w:proofErr w:type="spellStart"/>
      <w:r>
        <w:rPr>
          <w:rFonts w:ascii="Oracle Sans" w:hAnsi="Oracle Sans"/>
          <w:lang w:eastAsia="it-IT"/>
          <w14:ligatures w14:val="none"/>
        </w:rPr>
        <w:t>disaster</w:t>
      </w:r>
      <w:proofErr w:type="spellEnd"/>
      <w:r>
        <w:rPr>
          <w:rFonts w:ascii="Oracle Sans" w:hAnsi="Oracle Sans"/>
          <w:lang w:eastAsia="it-IT"/>
          <w14:ligatures w14:val="none"/>
        </w:rPr>
        <w:t xml:space="preserve"> recovery,  il che può ridurre i costi e gli oneri IT. I servizi si basano sulle elevate prestazioni, scalabilità, sicurezza e conformità proprie di </w:t>
      </w:r>
      <w:hyperlink r:id="rId19" w:history="1">
        <w:r>
          <w:rPr>
            <w:rStyle w:val="Collegamentoipertestuale"/>
            <w:rFonts w:ascii="Oracle Sans" w:hAnsi="Oracle Sans"/>
            <w:lang w:eastAsia="it-IT"/>
            <w14:ligatures w14:val="none"/>
          </w:rPr>
          <w:t xml:space="preserve">Oracle Cloud </w:t>
        </w:r>
        <w:proofErr w:type="spellStart"/>
        <w:r>
          <w:rPr>
            <w:rStyle w:val="Collegamentoipertestuale"/>
            <w:rFonts w:ascii="Oracle Sans" w:hAnsi="Oracle Sans"/>
            <w:lang w:eastAsia="it-IT"/>
            <w14:ligatures w14:val="none"/>
          </w:rPr>
          <w:t>Infrastructure</w:t>
        </w:r>
        <w:proofErr w:type="spellEnd"/>
        <w:r>
          <w:rPr>
            <w:rStyle w:val="Collegamentoipertestuale"/>
            <w:rFonts w:ascii="Oracle Sans" w:hAnsi="Oracle Sans"/>
            <w:lang w:eastAsia="it-IT"/>
            <w14:ligatures w14:val="none"/>
          </w:rPr>
          <w:t xml:space="preserve"> (OCI)</w:t>
        </w:r>
      </w:hyperlink>
      <w:r>
        <w:rPr>
          <w:rFonts w:ascii="Oracle Sans" w:hAnsi="Oracle Sans"/>
          <w:lang w:eastAsia="it-IT"/>
          <w14:ligatures w14:val="none"/>
        </w:rPr>
        <w:t xml:space="preserve">, che include anche OCI Container Engine for </w:t>
      </w:r>
      <w:proofErr w:type="spellStart"/>
      <w:r>
        <w:rPr>
          <w:rFonts w:ascii="Oracle Sans" w:hAnsi="Oracle Sans"/>
          <w:lang w:eastAsia="it-IT"/>
          <w14:ligatures w14:val="none"/>
        </w:rPr>
        <w:t>Kubernetes</w:t>
      </w:r>
      <w:proofErr w:type="spellEnd"/>
      <w:r>
        <w:rPr>
          <w:rFonts w:ascii="Oracle Sans" w:hAnsi="Oracle Sans"/>
          <w:lang w:eastAsia="it-IT"/>
          <w14:ligatures w14:val="none"/>
        </w:rPr>
        <w:t>.</w:t>
      </w:r>
    </w:p>
    <w:p w14:paraId="50BBE437" w14:textId="77777777" w:rsidR="007005F8" w:rsidRDefault="007005F8" w:rsidP="007005F8">
      <w:pPr>
        <w:rPr>
          <w:rFonts w:ascii="Oracle Sans" w:hAnsi="Oracle Sans"/>
          <w:lang w:eastAsia="it-IT"/>
          <w14:ligatures w14:val="none"/>
        </w:rPr>
      </w:pPr>
    </w:p>
    <w:p w14:paraId="532EE214" w14:textId="77777777" w:rsidR="007005F8" w:rsidRDefault="007005F8" w:rsidP="007005F8">
      <w:pPr>
        <w:ind w:right="300"/>
        <w:jc w:val="center"/>
        <w:rPr>
          <w:color w:val="000000"/>
          <w:lang w:eastAsia="it-IT"/>
          <w14:ligatures w14:val="none"/>
        </w:rPr>
      </w:pPr>
      <w:r>
        <w:rPr>
          <w:color w:val="000000"/>
          <w:lang w:eastAsia="it-IT"/>
          <w14:ligatures w14:val="none"/>
        </w:rPr>
        <w:t>#</w:t>
      </w:r>
    </w:p>
    <w:p w14:paraId="48A3F9C6" w14:textId="77777777" w:rsidR="007005F8" w:rsidRDefault="007005F8" w:rsidP="007005F8">
      <w:pPr>
        <w:rPr>
          <w:b/>
          <w:bCs/>
          <w:color w:val="000000"/>
          <w:sz w:val="20"/>
          <w:szCs w:val="20"/>
        </w:rPr>
      </w:pPr>
      <w:r>
        <w:rPr>
          <w:b/>
          <w:bCs/>
          <w:color w:val="000000"/>
          <w:sz w:val="20"/>
          <w:szCs w:val="20"/>
        </w:rPr>
        <w:t>Informazioni su Oracle</w:t>
      </w:r>
      <w:r>
        <w:rPr>
          <w:b/>
          <w:bCs/>
          <w:color w:val="000000"/>
          <w:sz w:val="20"/>
          <w:szCs w:val="20"/>
        </w:rPr>
        <w:br/>
      </w:r>
      <w:proofErr w:type="spellStart"/>
      <w:r>
        <w:rPr>
          <w:color w:val="000000"/>
          <w:sz w:val="20"/>
          <w:szCs w:val="20"/>
        </w:rPr>
        <w:t>Oracle</w:t>
      </w:r>
      <w:proofErr w:type="spellEnd"/>
      <w:r>
        <w:rPr>
          <w:color w:val="000000"/>
          <w:sz w:val="20"/>
          <w:szCs w:val="20"/>
        </w:rPr>
        <w:t xml:space="preserve"> offre suite di applicazioni integrate, oltre a un'infrastruttura sicura e autonoma, in Oracle Cloud. Per ulteriori informazioni su Oracle (NYSE: ORCL), visita il nostro sito </w:t>
      </w:r>
      <w:hyperlink r:id="rId20" w:tooltip="https://urldefense.com/v3/__https:/c212.net/c/link/?t=0&amp;l=en&amp;o=2364723-1&amp;h=817165358&amp;u=http*3A*2F*2Foracle.com*2F&amp;a=oracle.com__;JSUlJQ!!ACWV5N9M2RV99hQ!ONeZWrCLC0Z8XJ0ZSDgbMqbdGSRLbGdkbLU2xWR17M0WfGnMEQDjt-PBD8tUzd3gNaN4OAoUgL7ROgYSprkNJi36$" w:history="1">
        <w:r>
          <w:rPr>
            <w:rStyle w:val="Collegamentoipertestuale"/>
            <w:color w:val="000000"/>
            <w:sz w:val="20"/>
            <w:szCs w:val="20"/>
            <w:u w:val="none"/>
          </w:rPr>
          <w:t> </w:t>
        </w:r>
      </w:hyperlink>
      <w:hyperlink r:id="rId21" w:tooltip="https://urldefense.com/v3/__https:/c212.net/c/link/?t=0&amp;l=en&amp;o=2364723-1&amp;h=817165358&amp;u=http*3A*2F*2Foracle.com*2F&amp;a=oracle.com__;JSUlJQ!!ACWV5N9M2RV99hQ!ONeZWrCLC0Z8XJ0ZSDgbMqbdGSRLbGdkbLU2xWR17M0WfGnMEQDjt-PBD8tUzd3gNaN4OAoUgL7ROgYSprkNJi36$" w:history="1">
        <w:r>
          <w:rPr>
            <w:rStyle w:val="Collegamentoipertestuale"/>
            <w:color w:val="000000"/>
            <w:sz w:val="20"/>
            <w:szCs w:val="20"/>
            <w:u w:val="none"/>
          </w:rPr>
          <w:t>oracle.com</w:t>
        </w:r>
      </w:hyperlink>
      <w:r>
        <w:rPr>
          <w:color w:val="000000"/>
          <w:sz w:val="20"/>
          <w:szCs w:val="20"/>
        </w:rPr>
        <w:t>.</w:t>
      </w:r>
    </w:p>
    <w:p w14:paraId="55B1F8F8" w14:textId="77777777" w:rsidR="007005F8" w:rsidRDefault="007005F8" w:rsidP="007005F8">
      <w:pPr>
        <w:pStyle w:val="P68B1DB1-Normal8"/>
        <w:rPr>
          <w:rFonts w:ascii="Calibri" w:hAnsi="Calibri" w:cs="Calibri"/>
          <w:lang w:eastAsia="en-US"/>
        </w:rPr>
      </w:pPr>
    </w:p>
    <w:p w14:paraId="27A92C58" w14:textId="77777777" w:rsidR="007005F8" w:rsidRDefault="007005F8" w:rsidP="007005F8">
      <w:pPr>
        <w:pStyle w:val="P68B1DB1-Normal8"/>
        <w:rPr>
          <w:rFonts w:ascii="Calibri" w:hAnsi="Calibri" w:cs="Calibri"/>
          <w:lang w:eastAsia="en-US"/>
        </w:rPr>
      </w:pPr>
      <w:r>
        <w:rPr>
          <w:rFonts w:ascii="Calibri" w:hAnsi="Calibri" w:cs="Calibri"/>
          <w:lang w:eastAsia="en-US"/>
        </w:rPr>
        <w:t xml:space="preserve">Informazioni su Oracle </w:t>
      </w:r>
      <w:proofErr w:type="spellStart"/>
      <w:r>
        <w:rPr>
          <w:rFonts w:ascii="Calibri" w:hAnsi="Calibri" w:cs="Calibri"/>
          <w:lang w:eastAsia="en-US"/>
        </w:rPr>
        <w:t>CloudWorld</w:t>
      </w:r>
      <w:proofErr w:type="spellEnd"/>
      <w:r>
        <w:rPr>
          <w:rFonts w:ascii="Calibri" w:hAnsi="Calibri" w:cs="Calibri"/>
          <w:lang w:eastAsia="en-US"/>
        </w:rPr>
        <w:br/>
      </w:r>
      <w:r>
        <w:rPr>
          <w:rFonts w:ascii="Calibri" w:hAnsi="Calibri" w:cs="Calibri"/>
          <w:b w:val="0"/>
          <w:bCs w:val="0"/>
          <w:i/>
          <w:iCs/>
        </w:rPr>
        <w:t xml:space="preserve">Oracle </w:t>
      </w:r>
      <w:proofErr w:type="spellStart"/>
      <w:r>
        <w:rPr>
          <w:rFonts w:ascii="Calibri" w:hAnsi="Calibri" w:cs="Calibri"/>
          <w:b w:val="0"/>
          <w:bCs w:val="0"/>
          <w:i/>
          <w:iCs/>
        </w:rPr>
        <w:t>CloudWorld</w:t>
      </w:r>
      <w:proofErr w:type="spellEnd"/>
      <w:r>
        <w:rPr>
          <w:rFonts w:ascii="Calibri" w:hAnsi="Calibri" w:cs="Calibri"/>
          <w:b w:val="0"/>
          <w:bCs w:val="0"/>
          <w:i/>
          <w:iCs/>
        </w:rPr>
        <w:t xml:space="preserve"> è il più grande evento globale dedicato a clienti e partner di Oracle, per conoscere gli insight utili per affrontare le sfide aziendali più complesse, sviluppare competenze, conoscenze e connessioni e scoprire di più sulla infrastrutture cloud di Oracle, su database, applicazioni e strumenti per gli sviluppatori, tra cui Java, direttamente dalle persone che le creano e le utilizzano. Per la registrazione, gli interventi dal vivo, i dettagli delle sessioni, le notizie e</w:t>
      </w:r>
      <w:r>
        <w:rPr>
          <w:rFonts w:ascii="Calibri" w:hAnsi="Calibri" w:cs="Calibri"/>
          <w:b w:val="0"/>
          <w:bCs w:val="0"/>
        </w:rPr>
        <w:t xml:space="preserve"> altro ancora: </w:t>
      </w:r>
      <w:hyperlink r:id="rId22" w:history="1">
        <w:r>
          <w:rPr>
            <w:rStyle w:val="Collegamentoipertestuale"/>
            <w:rFonts w:ascii="Calibri" w:hAnsi="Calibri" w:cs="Calibri"/>
          </w:rPr>
          <w:t>https://www.oracle.com/cloudworld/</w:t>
        </w:r>
      </w:hyperlink>
      <w:r>
        <w:rPr>
          <w:rFonts w:ascii="Calibri" w:hAnsi="Calibri" w:cs="Calibri"/>
          <w:b w:val="0"/>
          <w:bCs w:val="0"/>
        </w:rPr>
        <w:t xml:space="preserve"> o </w:t>
      </w:r>
      <w:hyperlink r:id="rId23" w:history="1">
        <w:r>
          <w:rPr>
            <w:rStyle w:val="Collegamentoipertestuale"/>
            <w:rFonts w:ascii="Calibri" w:hAnsi="Calibri" w:cs="Calibri"/>
            <w:color w:val="0070C0"/>
            <w:u w:val="none"/>
          </w:rPr>
          <w:t>https://www.oracle.com/news/</w:t>
        </w:r>
      </w:hyperlink>
      <w:r>
        <w:rPr>
          <w:rFonts w:ascii="Calibri" w:hAnsi="Calibri" w:cs="Calibri"/>
          <w:color w:val="0070C0"/>
        </w:rPr>
        <w:t xml:space="preserve"> </w:t>
      </w:r>
    </w:p>
    <w:p w14:paraId="2016F52D" w14:textId="77777777" w:rsidR="007005F8" w:rsidRDefault="007005F8" w:rsidP="007005F8">
      <w:pPr>
        <w:rPr>
          <w:color w:val="000000"/>
          <w:sz w:val="20"/>
          <w:szCs w:val="20"/>
        </w:rPr>
      </w:pPr>
    </w:p>
    <w:p w14:paraId="2BC88495" w14:textId="77777777" w:rsidR="007005F8" w:rsidRDefault="007005F8" w:rsidP="007005F8">
      <w:pPr>
        <w:rPr>
          <w:b/>
          <w:bCs/>
          <w:color w:val="000000"/>
          <w:sz w:val="20"/>
          <w:szCs w:val="20"/>
        </w:rPr>
      </w:pPr>
      <w:r>
        <w:rPr>
          <w:b/>
          <w:bCs/>
          <w:color w:val="000000"/>
          <w:sz w:val="20"/>
          <w:szCs w:val="20"/>
        </w:rPr>
        <w:t>Marchi registrati</w:t>
      </w:r>
    </w:p>
    <w:p w14:paraId="46931BAD" w14:textId="77777777" w:rsidR="007005F8" w:rsidRDefault="007005F8" w:rsidP="007005F8">
      <w:pPr>
        <w:rPr>
          <w:color w:val="000000"/>
          <w:sz w:val="20"/>
          <w:szCs w:val="20"/>
        </w:rPr>
      </w:pPr>
      <w:r>
        <w:rPr>
          <w:color w:val="000000"/>
          <w:sz w:val="20"/>
          <w:szCs w:val="20"/>
        </w:rPr>
        <w:t xml:space="preserve">Oracle, Java, MySQL e </w:t>
      </w:r>
      <w:proofErr w:type="spellStart"/>
      <w:r>
        <w:rPr>
          <w:color w:val="000000"/>
          <w:sz w:val="20"/>
          <w:szCs w:val="20"/>
        </w:rPr>
        <w:t>NetSuite</w:t>
      </w:r>
      <w:proofErr w:type="spellEnd"/>
      <w:r>
        <w:rPr>
          <w:color w:val="000000"/>
          <w:sz w:val="20"/>
          <w:szCs w:val="20"/>
        </w:rPr>
        <w:t xml:space="preserve"> sono marchi registrati di Oracle Corporation. </w:t>
      </w:r>
      <w:proofErr w:type="spellStart"/>
      <w:r>
        <w:rPr>
          <w:color w:val="000000"/>
          <w:sz w:val="20"/>
          <w:szCs w:val="20"/>
        </w:rPr>
        <w:t>NetSuite</w:t>
      </w:r>
      <w:proofErr w:type="spellEnd"/>
      <w:r>
        <w:rPr>
          <w:color w:val="000000"/>
          <w:sz w:val="20"/>
          <w:szCs w:val="20"/>
        </w:rPr>
        <w:t xml:space="preserve"> è la cloud company che ha inaugurato la nuova era del cloud computing. </w:t>
      </w:r>
    </w:p>
    <w:p w14:paraId="149983A2" w14:textId="77777777" w:rsidR="007005F8" w:rsidRDefault="007005F8" w:rsidP="007005F8">
      <w:pPr>
        <w:rPr>
          <w:color w:val="000000"/>
          <w:sz w:val="20"/>
          <w:szCs w:val="20"/>
        </w:rPr>
      </w:pPr>
      <w:r>
        <w:rPr>
          <w:color w:val="000000"/>
          <w:sz w:val="20"/>
          <w:szCs w:val="20"/>
        </w:rPr>
        <w:t> </w:t>
      </w:r>
    </w:p>
    <w:p w14:paraId="605B91C6" w14:textId="77777777" w:rsidR="007005F8" w:rsidRDefault="007005F8" w:rsidP="007005F8">
      <w:pPr>
        <w:rPr>
          <w:color w:val="000000"/>
          <w:sz w:val="20"/>
          <w:szCs w:val="20"/>
        </w:rPr>
      </w:pPr>
      <w:r>
        <w:rPr>
          <w:b/>
          <w:bCs/>
          <w:color w:val="000000"/>
          <w:sz w:val="20"/>
          <w:szCs w:val="20"/>
        </w:rPr>
        <w:t>Contatti per i media</w:t>
      </w:r>
      <w:r>
        <w:rPr>
          <w:b/>
          <w:bCs/>
          <w:color w:val="000000"/>
          <w:sz w:val="20"/>
          <w:szCs w:val="20"/>
        </w:rPr>
        <w:br/>
      </w:r>
      <w:r>
        <w:rPr>
          <w:color w:val="000000"/>
          <w:sz w:val="20"/>
          <w:szCs w:val="20"/>
        </w:rPr>
        <w:t xml:space="preserve">Simona Menghini, ORACLE Italia: </w:t>
      </w:r>
      <w:proofErr w:type="spellStart"/>
      <w:r>
        <w:rPr>
          <w:color w:val="000000"/>
          <w:sz w:val="20"/>
          <w:szCs w:val="20"/>
        </w:rPr>
        <w:t>cell</w:t>
      </w:r>
      <w:proofErr w:type="spellEnd"/>
      <w:r>
        <w:rPr>
          <w:color w:val="000000"/>
          <w:sz w:val="20"/>
          <w:szCs w:val="20"/>
        </w:rPr>
        <w:t>. 342-6989617 </w:t>
      </w:r>
      <w:hyperlink r:id="rId24" w:tooltip="mailto:simona.menghini@oracle.com" w:history="1">
        <w:r>
          <w:rPr>
            <w:rStyle w:val="Collegamentoipertestuale"/>
            <w:color w:val="000000"/>
            <w:sz w:val="20"/>
            <w:szCs w:val="20"/>
            <w:u w:val="none"/>
          </w:rPr>
          <w:t>simona.menghini@oracle.com</w:t>
        </w:r>
      </w:hyperlink>
      <w:r>
        <w:rPr>
          <w:color w:val="000000"/>
          <w:sz w:val="20"/>
          <w:szCs w:val="20"/>
        </w:rPr>
        <w:br/>
        <w:t>Prima Pagina Comunicazione: Caterina Ferrara, Viviana Viviani, Ivonne Carpinelli - 0291339.811</w:t>
      </w:r>
      <w:r>
        <w:rPr>
          <w:color w:val="000000"/>
          <w:sz w:val="20"/>
          <w:szCs w:val="20"/>
        </w:rPr>
        <w:br/>
      </w:r>
      <w:hyperlink r:id="rId25" w:tooltip="mailto:team.oracle@primapagina.it" w:history="1">
        <w:r>
          <w:rPr>
            <w:rStyle w:val="Collegamentoipertestuale"/>
            <w:color w:val="000000"/>
            <w:sz w:val="20"/>
            <w:szCs w:val="20"/>
            <w:u w:val="none"/>
          </w:rPr>
          <w:t>team.oracle@primapagina.it</w:t>
        </w:r>
      </w:hyperlink>
    </w:p>
    <w:p w14:paraId="40293EAC" w14:textId="77777777" w:rsidR="00FD511D" w:rsidRDefault="00FD511D"/>
    <w:sectPr w:rsidR="00FD51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racle Sans">
    <w:altName w:val="Sylfaen"/>
    <w:charset w:val="00"/>
    <w:family w:val="swiss"/>
    <w:pitch w:val="variable"/>
    <w:sig w:usb0="A10006EF" w:usb1="400060FB"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F23CB"/>
    <w:multiLevelType w:val="hybridMultilevel"/>
    <w:tmpl w:val="4C8E4696"/>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51904823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F8"/>
    <w:rsid w:val="004734BC"/>
    <w:rsid w:val="007005F8"/>
    <w:rsid w:val="00FD5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68EA"/>
  <w15:chartTrackingRefBased/>
  <w15:docId w15:val="{F590CE41-C496-4889-B6F8-F9DE58F2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05F8"/>
    <w:pPr>
      <w:spacing w:after="0" w:line="240" w:lineRule="auto"/>
    </w:pPr>
    <w:rPr>
      <w:rFonts w:ascii="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005F8"/>
    <w:rPr>
      <w:color w:val="0563C1"/>
      <w:u w:val="single"/>
    </w:rPr>
  </w:style>
  <w:style w:type="paragraph" w:styleId="Paragrafoelenco">
    <w:name w:val="List Paragraph"/>
    <w:basedOn w:val="Normale"/>
    <w:uiPriority w:val="34"/>
    <w:qFormat/>
    <w:rsid w:val="007005F8"/>
    <w:pPr>
      <w:spacing w:after="160" w:line="252" w:lineRule="auto"/>
      <w:ind w:left="720"/>
      <w:contextualSpacing/>
    </w:pPr>
  </w:style>
  <w:style w:type="paragraph" w:customStyle="1" w:styleId="P68B1DB1-Normal8">
    <w:name w:val="P68B1DB1-Normal8"/>
    <w:basedOn w:val="Normale"/>
    <w:rsid w:val="007005F8"/>
    <w:rPr>
      <w:rFonts w:ascii="Arial" w:hAnsi="Arial" w:cs="Arial"/>
      <w:b/>
      <w:bCs/>
      <w:color w:val="000000"/>
      <w:sz w:val="20"/>
      <w:szCs w:val="20"/>
      <w:lang w:eastAsia="it-IT"/>
      <w14:ligatures w14:val="none"/>
    </w:rPr>
  </w:style>
  <w:style w:type="paragraph" w:customStyle="1" w:styleId="P68B1DB1-Normal1">
    <w:name w:val="P68B1DB1-Normal1"/>
    <w:basedOn w:val="Normale"/>
    <w:rsid w:val="007005F8"/>
    <w:rPr>
      <w:rFonts w:ascii="Oracle Sans" w:hAnsi="Oracle Sans"/>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cle.com/financial-services/banking/banking-cash-management/" TargetMode="External"/><Relationship Id="rId13" Type="http://schemas.openxmlformats.org/officeDocument/2006/relationships/hyperlink" Target="https://www.oracle.com/financial-services/banking/banking-apis/" TargetMode="External"/><Relationship Id="rId18" Type="http://schemas.openxmlformats.org/officeDocument/2006/relationships/hyperlink" Target="https://www.oracle.com/financial-services/banking/banking-api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ldefense.com/v3/__https:/c212.net/c/link/?t=0&amp;l=en&amp;o=2364723-1&amp;h=817165358&amp;u=http*3A*2F*2Foracle.com*2F&amp;a=oracle.com__;JSUlJQ!!ACWV5N9M2RV99hQ!ONeZWrCLC0Z8XJ0ZSDgbMqbdGSRLbGdkbLU2xWR17M0WfGnMEQDjt-PBD8tUzd3gNaN4OAoUgL7ROgYSprkNJi36$" TargetMode="External"/><Relationship Id="rId7" Type="http://schemas.openxmlformats.org/officeDocument/2006/relationships/image" Target="cid:image001.png@01D9ED56.39DE4A60" TargetMode="External"/><Relationship Id="rId12" Type="http://schemas.openxmlformats.org/officeDocument/2006/relationships/hyperlink" Target="https://www.oracle.com/financial-services/banking/banking-accounts/" TargetMode="External"/><Relationship Id="rId17" Type="http://schemas.openxmlformats.org/officeDocument/2006/relationships/hyperlink" Target="https://www.oracle.com/financial-services/banking/enterprise-limits-collateral-management/" TargetMode="External"/><Relationship Id="rId25" Type="http://schemas.openxmlformats.org/officeDocument/2006/relationships/hyperlink" Target="mailto:team.oracle@primapagina.it" TargetMode="External"/><Relationship Id="rId2" Type="http://schemas.openxmlformats.org/officeDocument/2006/relationships/styles" Target="styles.xml"/><Relationship Id="rId16" Type="http://schemas.openxmlformats.org/officeDocument/2006/relationships/hyperlink" Target="https://www.thehackettgroup.com/insights/2022-us-working-capital-survey-2210/" TargetMode="External"/><Relationship Id="rId20" Type="http://schemas.openxmlformats.org/officeDocument/2006/relationships/hyperlink" Target="https://urldefense.com/v3/__https:/c212.net/c/link/?t=0&amp;l=en&amp;o=2364723-1&amp;h=817165358&amp;u=http*3A*2F*2Foracle.com*2F&amp;a=oracle.com__;JSUlJQ!!ACWV5N9M2RV99hQ!ONeZWrCLC0Z8XJ0ZSDgbMqbdGSRLbGdkbLU2xWR17M0WfGnMEQDjt-PBD8tUzd3gNaN4OAoUgL7ROgYSprkNJi3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oracle.com/financial-services/banking/banking-payments/" TargetMode="External"/><Relationship Id="rId24" Type="http://schemas.openxmlformats.org/officeDocument/2006/relationships/hyperlink" Target="mailto:simona.menghini@oracle.com" TargetMode="External"/><Relationship Id="rId5" Type="http://schemas.openxmlformats.org/officeDocument/2006/relationships/hyperlink" Target="https://www.oracle.com/index.html" TargetMode="External"/><Relationship Id="rId15" Type="http://schemas.openxmlformats.org/officeDocument/2006/relationships/hyperlink" Target="https://www.oracle.com/financial-services/banking/enterprise-limits-collateral-management/" TargetMode="External"/><Relationship Id="rId23" Type="http://schemas.openxmlformats.org/officeDocument/2006/relationships/hyperlink" Target="https://www.oracle.com/news/" TargetMode="External"/><Relationship Id="rId10" Type="http://schemas.openxmlformats.org/officeDocument/2006/relationships/hyperlink" Target="https://www.oracle.com/financial-services/banking/banking-virtual-account-management/" TargetMode="External"/><Relationship Id="rId19" Type="http://schemas.openxmlformats.org/officeDocument/2006/relationships/hyperlink" Target="https://www.oracle.com/cloud/azure/event/" TargetMode="External"/><Relationship Id="rId4" Type="http://schemas.openxmlformats.org/officeDocument/2006/relationships/webSettings" Target="webSettings.xml"/><Relationship Id="rId9" Type="http://schemas.openxmlformats.org/officeDocument/2006/relationships/hyperlink" Target="https://www.oracle.com/financial-services/banking/banking-liquidity-management/" TargetMode="External"/><Relationship Id="rId14" Type="http://schemas.openxmlformats.org/officeDocument/2006/relationships/hyperlink" Target="https://www.oracle.com/financial-services/banking/banking-accounts/" TargetMode="External"/><Relationship Id="rId22" Type="http://schemas.openxmlformats.org/officeDocument/2006/relationships/hyperlink" Target="https://www.oracle.com/cloudworld/"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1803</Words>
  <Characters>10283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Carpinelli</dc:creator>
  <cp:keywords/>
  <dc:description/>
  <cp:lastModifiedBy>Ivonne Carpinelli</cp:lastModifiedBy>
  <cp:revision>1</cp:revision>
  <dcterms:created xsi:type="dcterms:W3CDTF">2023-09-22T11:56:00Z</dcterms:created>
  <dcterms:modified xsi:type="dcterms:W3CDTF">2023-09-22T12:41:00Z</dcterms:modified>
</cp:coreProperties>
</file>