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B017" w14:textId="77777777" w:rsidR="00333C68" w:rsidRDefault="00B30D8C">
      <w:pPr>
        <w:rPr>
          <w:rFonts w:ascii="Oracle Sans" w:hAnsi="Oracle Sans" w:cs="Arial"/>
          <w:b/>
          <w:bCs/>
        </w:rPr>
      </w:pPr>
      <w:r>
        <w:rPr>
          <w:rFonts w:ascii="Arial" w:hAnsi="Arial" w:cs="Arial"/>
          <w:noProof/>
          <w:color w:val="FF0000"/>
        </w:rPr>
        <w:drawing>
          <wp:anchor distT="0" distB="0" distL="114300" distR="114300" simplePos="0" relativeHeight="251659264" behindDoc="1" locked="0" layoutInCell="1" allowOverlap="1" wp14:anchorId="6AD60273" wp14:editId="2F28DE61">
            <wp:simplePos x="0" y="0"/>
            <wp:positionH relativeFrom="margin">
              <wp:posOffset>-73660</wp:posOffset>
            </wp:positionH>
            <wp:positionV relativeFrom="margin">
              <wp:posOffset>-440690</wp:posOffset>
            </wp:positionV>
            <wp:extent cx="1176655" cy="1095375"/>
            <wp:effectExtent l="0" t="0" r="4445" b="0"/>
            <wp:wrapThrough wrapText="bothSides">
              <wp:wrapPolygon edited="0">
                <wp:start x="0" y="0"/>
                <wp:lineTo x="0" y="21287"/>
                <wp:lineTo x="21448" y="21287"/>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7665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racle Sans" w:hAnsi="Oracle Sans" w:cs="Arial"/>
          <w:b/>
        </w:rPr>
        <w:t>Comunicato stampa</w:t>
      </w:r>
    </w:p>
    <w:p w14:paraId="50D94F60" w14:textId="77777777" w:rsidR="00333C68" w:rsidRDefault="00333C68">
      <w:pPr>
        <w:rPr>
          <w:rFonts w:ascii="Oracle Sans" w:hAnsi="Oracle Sans" w:cs="Arial"/>
          <w:b/>
          <w:bCs/>
        </w:rPr>
      </w:pPr>
    </w:p>
    <w:p w14:paraId="3BC6FABB" w14:textId="10DBB65D" w:rsidR="00333C68" w:rsidRPr="006A10A7" w:rsidRDefault="00B30D8C">
      <w:pPr>
        <w:pStyle w:val="P68B1DB1-pressheading11"/>
        <w:tabs>
          <w:tab w:val="center" w:pos="4680"/>
          <w:tab w:val="left" w:pos="8184"/>
        </w:tabs>
        <w:spacing w:before="0" w:beforeAutospacing="0" w:after="0" w:afterAutospacing="0"/>
        <w:jc w:val="center"/>
        <w:rPr>
          <w:bCs/>
          <w:sz w:val="28"/>
          <w:szCs w:val="28"/>
        </w:rPr>
      </w:pPr>
      <w:r w:rsidRPr="006A10A7">
        <w:rPr>
          <w:sz w:val="28"/>
          <w:szCs w:val="28"/>
        </w:rPr>
        <w:t xml:space="preserve">Oracle </w:t>
      </w:r>
      <w:r w:rsidR="00E7525B" w:rsidRPr="006A10A7">
        <w:rPr>
          <w:sz w:val="28"/>
          <w:szCs w:val="28"/>
        </w:rPr>
        <w:t xml:space="preserve">espande la propria offerta </w:t>
      </w:r>
      <w:r w:rsidRPr="006A10A7">
        <w:rPr>
          <w:sz w:val="28"/>
          <w:szCs w:val="28"/>
        </w:rPr>
        <w:t xml:space="preserve">di cloud distribuito </w:t>
      </w:r>
      <w:r w:rsidR="00E7525B" w:rsidRPr="006A10A7">
        <w:rPr>
          <w:sz w:val="28"/>
          <w:szCs w:val="28"/>
        </w:rPr>
        <w:br/>
      </w:r>
      <w:r w:rsidRPr="006A10A7">
        <w:rPr>
          <w:sz w:val="28"/>
          <w:szCs w:val="28"/>
        </w:rPr>
        <w:t>per favorire l'innovazione</w:t>
      </w:r>
      <w:r w:rsidR="0045287B" w:rsidRPr="006A10A7">
        <w:rPr>
          <w:sz w:val="28"/>
          <w:szCs w:val="28"/>
        </w:rPr>
        <w:t>, ovunque</w:t>
      </w:r>
    </w:p>
    <w:p w14:paraId="5B8D9E24" w14:textId="77777777" w:rsidR="00333C68" w:rsidRPr="006A10A7" w:rsidRDefault="00B30D8C">
      <w:pPr>
        <w:pStyle w:val="P68B1DB1-pressheading12"/>
        <w:tabs>
          <w:tab w:val="center" w:pos="4680"/>
          <w:tab w:val="left" w:pos="8184"/>
        </w:tabs>
        <w:spacing w:before="0" w:beforeAutospacing="0" w:after="0" w:afterAutospacing="0"/>
      </w:pPr>
      <w:r w:rsidRPr="006A10A7">
        <w:tab/>
      </w:r>
    </w:p>
    <w:p w14:paraId="78FDEFFA" w14:textId="393A00EA" w:rsidR="00333C68" w:rsidRPr="00B30D8C" w:rsidRDefault="00B30D8C" w:rsidP="00E7525B">
      <w:pPr>
        <w:pStyle w:val="P68B1DB1-Normal3"/>
        <w:spacing w:after="0" w:line="240" w:lineRule="auto"/>
        <w:jc w:val="center"/>
        <w:rPr>
          <w:bCs/>
          <w:sz w:val="24"/>
          <w:szCs w:val="24"/>
        </w:rPr>
      </w:pPr>
      <w:r w:rsidRPr="006A10A7">
        <w:rPr>
          <w:i/>
          <w:iCs/>
          <w:color w:val="000000"/>
          <w:sz w:val="24"/>
          <w:szCs w:val="24"/>
        </w:rPr>
        <w:t>Oracle Database@Azure,</w:t>
      </w:r>
      <w:r w:rsidRPr="006A10A7">
        <w:rPr>
          <w:i/>
          <w:iCs/>
          <w:sz w:val="24"/>
          <w:szCs w:val="24"/>
        </w:rPr>
        <w:t xml:space="preserve"> </w:t>
      </w:r>
      <w:r w:rsidRPr="006A10A7">
        <w:rPr>
          <w:i/>
          <w:iCs/>
          <w:color w:val="000000"/>
          <w:sz w:val="24"/>
          <w:szCs w:val="24"/>
        </w:rPr>
        <w:t>MySQL HeatWave Lakehouse su AWS e Oracle Alloy</w:t>
      </w:r>
      <w:r w:rsidR="00E7525B" w:rsidRPr="006A10A7">
        <w:rPr>
          <w:i/>
          <w:iCs/>
          <w:color w:val="000000"/>
          <w:sz w:val="24"/>
          <w:szCs w:val="24"/>
        </w:rPr>
        <w:t xml:space="preserve"> </w:t>
      </w:r>
      <w:r w:rsidR="00E7525B" w:rsidRPr="006A10A7">
        <w:rPr>
          <w:i/>
          <w:iCs/>
          <w:color w:val="000000"/>
          <w:sz w:val="24"/>
          <w:szCs w:val="24"/>
        </w:rPr>
        <w:br/>
        <w:t>danno</w:t>
      </w:r>
      <w:r w:rsidRPr="006A10A7">
        <w:rPr>
          <w:i/>
          <w:iCs/>
          <w:sz w:val="24"/>
          <w:szCs w:val="24"/>
        </w:rPr>
        <w:t xml:space="preserve"> alle organizzazioni maggior flessibilità per </w:t>
      </w:r>
      <w:r w:rsidR="00E7525B" w:rsidRPr="006A10A7">
        <w:rPr>
          <w:i/>
          <w:iCs/>
          <w:sz w:val="24"/>
          <w:szCs w:val="24"/>
        </w:rPr>
        <w:t xml:space="preserve">implementare </w:t>
      </w:r>
      <w:r w:rsidRPr="006A10A7">
        <w:rPr>
          <w:i/>
          <w:iCs/>
          <w:sz w:val="24"/>
          <w:szCs w:val="24"/>
        </w:rPr>
        <w:t xml:space="preserve">servizi cloud </w:t>
      </w:r>
      <w:r w:rsidR="00E7525B" w:rsidRPr="006A10A7">
        <w:rPr>
          <w:i/>
          <w:iCs/>
          <w:sz w:val="24"/>
          <w:szCs w:val="24"/>
        </w:rPr>
        <w:t>ovunque</w:t>
      </w:r>
      <w:r w:rsidR="00E7525B">
        <w:rPr>
          <w:i/>
          <w:iCs/>
          <w:sz w:val="24"/>
          <w:szCs w:val="24"/>
        </w:rPr>
        <w:t xml:space="preserve"> </w:t>
      </w:r>
      <w:r w:rsidR="00E7525B">
        <w:rPr>
          <w:i/>
          <w:iCs/>
          <w:sz w:val="24"/>
          <w:szCs w:val="24"/>
        </w:rPr>
        <w:br/>
      </w:r>
      <w:r w:rsidR="00E7525B">
        <w:rPr>
          <w:i/>
          <w:iCs/>
          <w:sz w:val="24"/>
          <w:szCs w:val="24"/>
        </w:rPr>
        <w:br/>
      </w:r>
    </w:p>
    <w:p w14:paraId="303F8EE3" w14:textId="647E129F" w:rsidR="0045287B" w:rsidRDefault="00B30D8C" w:rsidP="00321373">
      <w:pPr>
        <w:spacing w:after="0" w:line="240" w:lineRule="auto"/>
        <w:rPr>
          <w:rFonts w:ascii="Oracle Sans" w:hAnsi="Oracle Sans"/>
        </w:rPr>
      </w:pPr>
      <w:r w:rsidRPr="001A53C2">
        <w:rPr>
          <w:rFonts w:ascii="Oracle Sans" w:hAnsi="Oracle Sans" w:cs="Arial"/>
          <w:b/>
        </w:rPr>
        <w:t>Oracle CloudWorld, Las Vegas</w:t>
      </w:r>
      <w:r w:rsidR="0045287B" w:rsidRPr="001A53C2">
        <w:rPr>
          <w:rFonts w:ascii="Oracle Sans" w:hAnsi="Oracle Sans" w:cs="Arial"/>
          <w:b/>
        </w:rPr>
        <w:t xml:space="preserve"> (USA)/Milano, 26 settembre 2023 </w:t>
      </w:r>
      <w:r w:rsidRPr="001A53C2">
        <w:rPr>
          <w:rFonts w:ascii="Oracle Sans" w:hAnsi="Oracle Sans" w:cs="Arial"/>
          <w:b/>
        </w:rPr>
        <w:t xml:space="preserve">- </w:t>
      </w:r>
      <w:r w:rsidRPr="001A53C2">
        <w:rPr>
          <w:rFonts w:ascii="Oracle Sans" w:hAnsi="Oracle Sans"/>
        </w:rPr>
        <w:t>Oracle continua a espandere</w:t>
      </w:r>
      <w:r w:rsidR="0045287B" w:rsidRPr="001A53C2">
        <w:rPr>
          <w:rFonts w:ascii="Oracle Sans" w:hAnsi="Oracle Sans"/>
        </w:rPr>
        <w:t xml:space="preserve"> l’offerta di cloud distribuito per </w:t>
      </w:r>
      <w:r w:rsidRPr="001A53C2">
        <w:rPr>
          <w:rFonts w:ascii="Oracle Sans" w:hAnsi="Oracle Sans"/>
        </w:rPr>
        <w:t xml:space="preserve">soddisfare le diverse esigenze e la crescente domanda a livello globale di servizi </w:t>
      </w:r>
      <w:hyperlink r:id="rId8" w:history="1">
        <w:r w:rsidRPr="001A53C2">
          <w:rPr>
            <w:rStyle w:val="Collegamentoipertestuale"/>
            <w:rFonts w:ascii="Oracle Sans" w:hAnsi="Oracle Sans" w:cstheme="minorHAnsi"/>
          </w:rPr>
          <w:t>Oracle Cloud Infrastructure</w:t>
        </w:r>
      </w:hyperlink>
      <w:r w:rsidRPr="001A53C2">
        <w:rPr>
          <w:rFonts w:ascii="Oracle Sans" w:hAnsi="Oracle Sans" w:cstheme="minorHAnsi"/>
        </w:rPr>
        <w:t xml:space="preserve"> (OCI). </w:t>
      </w:r>
      <w:r w:rsidR="00E7525B" w:rsidRPr="001A53C2">
        <w:rPr>
          <w:rFonts w:ascii="Oracle Sans" w:hAnsi="Oracle Sans" w:cstheme="minorHAnsi"/>
        </w:rPr>
        <w:t>Tra le</w:t>
      </w:r>
      <w:r w:rsidRPr="001A53C2">
        <w:rPr>
          <w:rFonts w:ascii="Oracle Sans" w:hAnsi="Oracle Sans" w:cstheme="minorHAnsi"/>
        </w:rPr>
        <w:t xml:space="preserve"> ultime novità </w:t>
      </w:r>
      <w:r w:rsidR="0045287B" w:rsidRPr="001A53C2">
        <w:rPr>
          <w:rFonts w:ascii="Oracle Sans" w:hAnsi="Oracle Sans" w:cstheme="minorHAnsi"/>
        </w:rPr>
        <w:t>p</w:t>
      </w:r>
      <w:r w:rsidR="00E7525B" w:rsidRPr="001A53C2">
        <w:rPr>
          <w:rFonts w:ascii="Oracle Sans" w:hAnsi="Oracle Sans" w:cstheme="minorHAnsi"/>
        </w:rPr>
        <w:t>resentate p</w:t>
      </w:r>
      <w:r w:rsidR="0045287B" w:rsidRPr="001A53C2">
        <w:rPr>
          <w:rFonts w:ascii="Oracle Sans" w:hAnsi="Oracle Sans" w:cstheme="minorHAnsi"/>
        </w:rPr>
        <w:t xml:space="preserve">er </w:t>
      </w:r>
      <w:r w:rsidR="00E7525B" w:rsidRPr="001A53C2">
        <w:rPr>
          <w:rFonts w:ascii="Oracle Sans" w:hAnsi="Oracle Sans" w:cstheme="minorHAnsi"/>
        </w:rPr>
        <w:t>i</w:t>
      </w:r>
      <w:r w:rsidR="0045287B" w:rsidRPr="001A53C2">
        <w:rPr>
          <w:rFonts w:ascii="Oracle Sans" w:hAnsi="Oracle Sans" w:cstheme="minorHAnsi"/>
        </w:rPr>
        <w:t>l</w:t>
      </w:r>
      <w:r w:rsidRPr="001A53C2">
        <w:rPr>
          <w:rFonts w:ascii="Oracle Sans" w:hAnsi="Oracle Sans" w:cstheme="minorHAnsi"/>
        </w:rPr>
        <w:t xml:space="preserve"> </w:t>
      </w:r>
      <w:hyperlink r:id="rId9" w:history="1">
        <w:r w:rsidRPr="001A53C2">
          <w:rPr>
            <w:rStyle w:val="Collegamentoipertestuale"/>
            <w:rFonts w:ascii="Oracle Sans" w:hAnsi="Oracle Sans" w:cstheme="minorHAnsi"/>
          </w:rPr>
          <w:t>cloud distribuito di OCI</w:t>
        </w:r>
      </w:hyperlink>
      <w:r w:rsidR="006011FE" w:rsidRPr="001A53C2">
        <w:rPr>
          <w:rStyle w:val="Collegamentoipertestuale"/>
          <w:rFonts w:ascii="Oracle Sans" w:hAnsi="Oracle Sans" w:cstheme="minorHAnsi"/>
        </w:rPr>
        <w:t>,</w:t>
      </w:r>
      <w:r w:rsidRPr="001A53C2">
        <w:rPr>
          <w:rFonts w:ascii="Oracle Sans" w:hAnsi="Oracle Sans" w:cstheme="minorHAnsi"/>
        </w:rPr>
        <w:t xml:space="preserve"> </w:t>
      </w:r>
      <w:r w:rsidR="00E7525B" w:rsidRPr="001A53C2">
        <w:rPr>
          <w:rFonts w:ascii="Oracle Sans" w:hAnsi="Oracle Sans" w:cstheme="minorHAnsi"/>
        </w:rPr>
        <w:t>ci sono</w:t>
      </w:r>
      <w:r w:rsidRPr="001A53C2">
        <w:rPr>
          <w:rFonts w:ascii="Oracle Sans" w:hAnsi="Oracle Sans" w:cstheme="minorHAnsi"/>
        </w:rPr>
        <w:t xml:space="preserve"> </w:t>
      </w:r>
      <w:r w:rsidRPr="001A53C2">
        <w:rPr>
          <w:rFonts w:ascii="Oracle Sans" w:hAnsi="Oracle Sans" w:cs="Arial"/>
          <w:color w:val="000000"/>
        </w:rPr>
        <w:t xml:space="preserve">Oracle </w:t>
      </w:r>
      <w:proofErr w:type="spellStart"/>
      <w:r w:rsidRPr="001A53C2">
        <w:rPr>
          <w:rFonts w:ascii="Oracle Sans" w:hAnsi="Oracle Sans" w:cs="Arial"/>
          <w:color w:val="000000"/>
        </w:rPr>
        <w:t>Database@Azure</w:t>
      </w:r>
      <w:proofErr w:type="spellEnd"/>
      <w:r w:rsidRPr="001A53C2">
        <w:rPr>
          <w:rFonts w:ascii="Oracle Sans" w:hAnsi="Oracle Sans" w:cs="Arial"/>
          <w:color w:val="000000"/>
        </w:rPr>
        <w:t xml:space="preserve"> e </w:t>
      </w:r>
      <w:r w:rsidRPr="001A53C2">
        <w:rPr>
          <w:rFonts w:ascii="Oracle Sans" w:hAnsi="Oracle Sans"/>
        </w:rPr>
        <w:t xml:space="preserve">MySQL </w:t>
      </w:r>
      <w:proofErr w:type="spellStart"/>
      <w:r w:rsidRPr="001A53C2">
        <w:rPr>
          <w:rFonts w:ascii="Oracle Sans" w:hAnsi="Oracle Sans"/>
        </w:rPr>
        <w:t>HeatWave</w:t>
      </w:r>
      <w:proofErr w:type="spellEnd"/>
      <w:r w:rsidRPr="001A53C2">
        <w:rPr>
          <w:rFonts w:ascii="Oracle Sans" w:hAnsi="Oracle Sans"/>
        </w:rPr>
        <w:t xml:space="preserve"> </w:t>
      </w:r>
      <w:proofErr w:type="spellStart"/>
      <w:r w:rsidRPr="001A53C2">
        <w:rPr>
          <w:rFonts w:ascii="Oracle Sans" w:hAnsi="Oracle Sans"/>
        </w:rPr>
        <w:t>Lakehouse</w:t>
      </w:r>
      <w:proofErr w:type="spellEnd"/>
      <w:r w:rsidRPr="001A53C2">
        <w:rPr>
          <w:rFonts w:ascii="Oracle Sans" w:hAnsi="Oracle Sans"/>
        </w:rPr>
        <w:t xml:space="preserve"> su AWS.</w:t>
      </w:r>
      <w:r w:rsidR="006011FE" w:rsidRPr="001A53C2">
        <w:rPr>
          <w:rFonts w:ascii="Oracle Sans" w:hAnsi="Oracle Sans"/>
        </w:rPr>
        <w:t xml:space="preserve"> </w:t>
      </w:r>
      <w:r w:rsidR="0045287B" w:rsidRPr="001A53C2">
        <w:rPr>
          <w:rFonts w:ascii="Oracle Sans" w:hAnsi="Oracle Sans"/>
        </w:rPr>
        <w:t>Le imprese</w:t>
      </w:r>
      <w:r w:rsidRPr="001A53C2">
        <w:rPr>
          <w:rFonts w:ascii="Oracle Sans" w:hAnsi="Oracle Sans"/>
        </w:rPr>
        <w:t xml:space="preserve"> possono</w:t>
      </w:r>
      <w:r w:rsidR="00E7525B" w:rsidRPr="001A53C2">
        <w:rPr>
          <w:rFonts w:ascii="Oracle Sans" w:hAnsi="Oracle Sans"/>
        </w:rPr>
        <w:t xml:space="preserve"> così</w:t>
      </w:r>
      <w:r w:rsidRPr="001A53C2">
        <w:rPr>
          <w:rFonts w:ascii="Oracle Sans" w:hAnsi="Oracle Sans"/>
        </w:rPr>
        <w:t xml:space="preserve"> </w:t>
      </w:r>
      <w:r w:rsidR="00E7525B" w:rsidRPr="001A53C2">
        <w:rPr>
          <w:rFonts w:ascii="Oracle Sans" w:hAnsi="Oracle Sans"/>
        </w:rPr>
        <w:t xml:space="preserve">ottenere </w:t>
      </w:r>
      <w:r w:rsidRPr="001A53C2">
        <w:rPr>
          <w:rFonts w:ascii="Oracle Sans" w:hAnsi="Oracle Sans"/>
        </w:rPr>
        <w:t xml:space="preserve">maggior flessibilità per </w:t>
      </w:r>
      <w:r w:rsidR="00E7525B" w:rsidRPr="001A53C2">
        <w:rPr>
          <w:rFonts w:ascii="Oracle Sans" w:hAnsi="Oracle Sans"/>
        </w:rPr>
        <w:t xml:space="preserve">implementare </w:t>
      </w:r>
      <w:r w:rsidRPr="001A53C2">
        <w:rPr>
          <w:rFonts w:ascii="Oracle Sans" w:hAnsi="Oracle Sans"/>
        </w:rPr>
        <w:t xml:space="preserve">servizi cloud ovunque, </w:t>
      </w:r>
      <w:r w:rsidR="0045287B" w:rsidRPr="001A53C2">
        <w:rPr>
          <w:rFonts w:ascii="Oracle Sans" w:hAnsi="Oracle Sans"/>
        </w:rPr>
        <w:t xml:space="preserve">nel rispetto di requisiti di privacy </w:t>
      </w:r>
      <w:r w:rsidR="00E7525B" w:rsidRPr="001A53C2">
        <w:rPr>
          <w:rFonts w:ascii="Oracle Sans" w:hAnsi="Oracle Sans"/>
        </w:rPr>
        <w:t xml:space="preserve">e </w:t>
      </w:r>
      <w:r w:rsidR="0045287B" w:rsidRPr="001A53C2">
        <w:rPr>
          <w:rFonts w:ascii="Oracle Sans" w:hAnsi="Oracle Sans"/>
        </w:rPr>
        <w:t>sovranità dei dati e di bassa latenza; inoltre</w:t>
      </w:r>
      <w:r w:rsidR="006011FE" w:rsidRPr="001A53C2">
        <w:rPr>
          <w:rFonts w:ascii="Oracle Sans" w:hAnsi="Oracle Sans"/>
        </w:rPr>
        <w:t>,</w:t>
      </w:r>
      <w:r w:rsidR="0045287B" w:rsidRPr="001A53C2">
        <w:rPr>
          <w:rFonts w:ascii="Oracle Sans" w:hAnsi="Oracle Sans"/>
        </w:rPr>
        <w:t xml:space="preserve"> </w:t>
      </w:r>
      <w:r w:rsidR="006011FE" w:rsidRPr="001A53C2">
        <w:rPr>
          <w:rFonts w:ascii="Oracle Sans" w:hAnsi="Oracle Sans"/>
        </w:rPr>
        <w:t xml:space="preserve">possono </w:t>
      </w:r>
      <w:r w:rsidR="0045287B" w:rsidRPr="001A53C2">
        <w:rPr>
          <w:rFonts w:ascii="Oracle Sans" w:hAnsi="Oracle Sans"/>
        </w:rPr>
        <w:t xml:space="preserve">accedere a oltre </w:t>
      </w:r>
      <w:proofErr w:type="gramStart"/>
      <w:r w:rsidR="0045287B" w:rsidRPr="001A53C2">
        <w:rPr>
          <w:rFonts w:ascii="Oracle Sans" w:hAnsi="Oracle Sans"/>
        </w:rPr>
        <w:t>100</w:t>
      </w:r>
      <w:proofErr w:type="gramEnd"/>
      <w:r w:rsidR="0045287B" w:rsidRPr="001A53C2">
        <w:rPr>
          <w:rFonts w:ascii="Oracle Sans" w:hAnsi="Oracle Sans"/>
        </w:rPr>
        <w:t xml:space="preserve"> servizi</w:t>
      </w:r>
      <w:r w:rsidR="00E7525B" w:rsidRPr="001A53C2">
        <w:rPr>
          <w:rFonts w:ascii="Oracle Sans" w:hAnsi="Oracle Sans"/>
        </w:rPr>
        <w:t xml:space="preserve"> cloud</w:t>
      </w:r>
      <w:r w:rsidR="0045287B" w:rsidRPr="001A53C2">
        <w:rPr>
          <w:rFonts w:ascii="Oracle Sans" w:hAnsi="Oracle Sans"/>
        </w:rPr>
        <w:t xml:space="preserve">, </w:t>
      </w:r>
      <w:r w:rsidRPr="001A53C2">
        <w:rPr>
          <w:rFonts w:ascii="Oracle Sans" w:hAnsi="Oracle Sans"/>
        </w:rPr>
        <w:t>per eseguire qualsiasi carico di lavoro. A riprova del successo della</w:t>
      </w:r>
      <w:r w:rsidR="0045287B" w:rsidRPr="001A53C2">
        <w:rPr>
          <w:rFonts w:ascii="Oracle Sans" w:hAnsi="Oracle Sans"/>
        </w:rPr>
        <w:t xml:space="preserve"> </w:t>
      </w:r>
      <w:r w:rsidR="00E7525B" w:rsidRPr="001A53C2">
        <w:rPr>
          <w:rFonts w:ascii="Oracle Sans" w:hAnsi="Oracle Sans"/>
        </w:rPr>
        <w:t xml:space="preserve">sua </w:t>
      </w:r>
      <w:r w:rsidRPr="001A53C2">
        <w:rPr>
          <w:rFonts w:ascii="Oracle Sans" w:hAnsi="Oracle Sans"/>
        </w:rPr>
        <w:t>strategia</w:t>
      </w:r>
      <w:r w:rsidR="0045287B" w:rsidRPr="001A53C2">
        <w:rPr>
          <w:rFonts w:ascii="Oracle Sans" w:hAnsi="Oracle Sans"/>
        </w:rPr>
        <w:t xml:space="preserve"> </w:t>
      </w:r>
      <w:r w:rsidR="00E7525B" w:rsidRPr="001A53C2">
        <w:rPr>
          <w:rFonts w:ascii="Oracle Sans" w:hAnsi="Oracle Sans"/>
        </w:rPr>
        <w:t>di cloud distribuito</w:t>
      </w:r>
      <w:r w:rsidRPr="001A53C2">
        <w:rPr>
          <w:rFonts w:ascii="Oracle Sans" w:hAnsi="Oracle Sans"/>
        </w:rPr>
        <w:t>, Oracle ha</w:t>
      </w:r>
      <w:r w:rsidR="0045287B" w:rsidRPr="001A53C2">
        <w:rPr>
          <w:rFonts w:ascii="Oracle Sans" w:hAnsi="Oracle Sans"/>
        </w:rPr>
        <w:t xml:space="preserve"> anche</w:t>
      </w:r>
      <w:r w:rsidRPr="001A53C2">
        <w:rPr>
          <w:rFonts w:ascii="Oracle Sans" w:hAnsi="Oracle Sans"/>
        </w:rPr>
        <w:t xml:space="preserve"> annunciato </w:t>
      </w:r>
      <w:r w:rsidR="0045287B" w:rsidRPr="001A53C2">
        <w:rPr>
          <w:rFonts w:ascii="Oracle Sans" w:hAnsi="Oracle Sans"/>
        </w:rPr>
        <w:t>che l’adozione di Oracle Alloy da parte dei suoi partner è in aumento.</w:t>
      </w:r>
    </w:p>
    <w:p w14:paraId="2A51C4F4" w14:textId="77777777" w:rsidR="00333C68" w:rsidRDefault="00333C68" w:rsidP="00321373">
      <w:pPr>
        <w:spacing w:after="0" w:line="240" w:lineRule="auto"/>
        <w:rPr>
          <w:rFonts w:ascii="Oracle Sans" w:hAnsi="Oracle Sans" w:cs="Arial"/>
          <w:b/>
          <w:bCs/>
          <w:color w:val="000000"/>
        </w:rPr>
      </w:pPr>
    </w:p>
    <w:p w14:paraId="5AA40985" w14:textId="2B26ADD5" w:rsidR="00333C68" w:rsidRDefault="00B30D8C" w:rsidP="00321373">
      <w:pPr>
        <w:spacing w:after="0" w:line="240" w:lineRule="auto"/>
        <w:rPr>
          <w:rFonts w:ascii="Oracle Sans" w:hAnsi="Oracle Sans" w:cstheme="minorHAnsi"/>
        </w:rPr>
      </w:pPr>
      <w:r>
        <w:rPr>
          <w:rFonts w:ascii="Oracle Sans" w:hAnsi="Oracle Sans" w:cstheme="minorHAnsi"/>
        </w:rPr>
        <w:t>"</w:t>
      </w:r>
      <w:r w:rsidRPr="0045287B">
        <w:rPr>
          <w:rFonts w:ascii="Oracle Sans" w:hAnsi="Oracle Sans" w:cstheme="minorHAnsi"/>
          <w:i/>
          <w:iCs/>
        </w:rPr>
        <w:t xml:space="preserve">Il cloud distribuito di OCI è progettato per offrire ai clienti la massima possibilità di scelta su come implementare servizi cloud senza sacrificare </w:t>
      </w:r>
      <w:r w:rsidRPr="0045287B">
        <w:rPr>
          <w:rFonts w:ascii="Oracle Sans" w:eastAsia="Times New Roman" w:hAnsi="Oracle Sans" w:cs="Calibri"/>
          <w:i/>
          <w:iCs/>
          <w:color w:val="000000" w:themeColor="text1"/>
        </w:rPr>
        <w:t>prestazioni, scalabilità e disponibilità</w:t>
      </w:r>
      <w:r>
        <w:rPr>
          <w:rFonts w:ascii="Oracle Sans" w:eastAsia="Times New Roman" w:hAnsi="Oracle Sans" w:cs="Calibri"/>
          <w:color w:val="000000" w:themeColor="text1"/>
        </w:rPr>
        <w:t xml:space="preserve">", </w:t>
      </w:r>
      <w:r>
        <w:rPr>
          <w:rFonts w:ascii="Oracle Sans" w:hAnsi="Oracle Sans" w:cstheme="minorHAnsi"/>
        </w:rPr>
        <w:t xml:space="preserve">commenta </w:t>
      </w:r>
      <w:r w:rsidRPr="0045287B">
        <w:rPr>
          <w:rFonts w:ascii="Oracle Sans" w:hAnsi="Oracle Sans" w:cstheme="minorHAnsi"/>
          <w:b/>
          <w:bCs/>
        </w:rPr>
        <w:t>Karan Batta, Senior Vice President di Oracle Cloud Infrastructure</w:t>
      </w:r>
      <w:r>
        <w:rPr>
          <w:rFonts w:ascii="Oracle Sans" w:hAnsi="Oracle Sans" w:cstheme="minorHAnsi"/>
        </w:rPr>
        <w:t xml:space="preserve">. "Il </w:t>
      </w:r>
      <w:r w:rsidRPr="0045287B">
        <w:rPr>
          <w:rFonts w:ascii="Oracle Sans" w:hAnsi="Oracle Sans" w:cstheme="minorHAnsi"/>
          <w:i/>
          <w:iCs/>
        </w:rPr>
        <w:t>cloud moderno deve essere più distribuito e flessibile che mai. Con i servizi database Oracle in esecuzione su OCI e distribuiti nei data center Microsoft Azure, i clienti potranno beneficiare di maggiore flessibilità in fase di esecuzione dei carichi di lavoro</w:t>
      </w:r>
      <w:r>
        <w:rPr>
          <w:rFonts w:ascii="Oracle Sans" w:hAnsi="Oracle Sans" w:cstheme="minorHAnsi"/>
        </w:rPr>
        <w:t>".</w:t>
      </w:r>
    </w:p>
    <w:p w14:paraId="46486FE5" w14:textId="77777777" w:rsidR="00333C68" w:rsidRDefault="00333C68" w:rsidP="00321373">
      <w:pPr>
        <w:spacing w:after="0" w:line="240" w:lineRule="auto"/>
        <w:rPr>
          <w:rFonts w:ascii="Oracle Sans" w:hAnsi="Oracle Sans" w:cs="Arial"/>
          <w:b/>
          <w:bCs/>
          <w:color w:val="000000"/>
        </w:rPr>
      </w:pPr>
    </w:p>
    <w:p w14:paraId="7DED78E1" w14:textId="361D62B8" w:rsidR="00333C68" w:rsidRDefault="00B30D8C" w:rsidP="00321373">
      <w:pPr>
        <w:pStyle w:val="P68B1DB1-Normal4"/>
        <w:spacing w:after="0" w:line="240" w:lineRule="auto"/>
      </w:pPr>
      <w:r>
        <w:t>Oracle Database@Azure offre accesso diretto ai servizi Oracle Database in esecuzione su OCI in Microsoft Azure</w:t>
      </w:r>
    </w:p>
    <w:p w14:paraId="63655DA3" w14:textId="77777777" w:rsidR="0045287B" w:rsidRDefault="0045287B" w:rsidP="00321373">
      <w:pPr>
        <w:pStyle w:val="P68B1DB1-Normal4"/>
        <w:spacing w:after="0" w:line="240" w:lineRule="auto"/>
        <w:rPr>
          <w:bCs/>
        </w:rPr>
      </w:pPr>
    </w:p>
    <w:p w14:paraId="23A67EFE" w14:textId="72FD49FA" w:rsidR="00333C68" w:rsidRDefault="00B30D8C" w:rsidP="00321373">
      <w:pPr>
        <w:pStyle w:val="P68B1DB1-Normal5"/>
        <w:spacing w:after="0" w:line="240" w:lineRule="auto"/>
        <w:rPr>
          <w:rFonts w:ascii="Calibri" w:eastAsia="Times New Roman" w:hAnsi="Calibri" w:cs="Calibri"/>
          <w:color w:val="000000" w:themeColor="text1"/>
        </w:rPr>
      </w:pPr>
      <w:r>
        <w:rPr>
          <w:rFonts w:ascii="Oracle Sans" w:hAnsi="Oracle Sans" w:cs="Arial"/>
        </w:rPr>
        <w:t>Con la recente introduzione di Oracle Database@Azure, i clienti potranno accedere direttamente ai servizi Oracle database in esecuzione su OCI e distribuiti nei data center Microsoft Azure. Oracle Database@Azure offre tutti i vantaggi a livello di prestazioni, scalabilità e disponibilità di Oracle Database su OCI. Questa combinazione offre ai clienti maggiore flessibilità in relazione all'esecuzione dei carichi di lavoro. Fornisce, inoltre, un ambiente semplificato che facilita l'acquisto e la gestione del cloud tra Oracle Database e Azure.</w:t>
      </w:r>
    </w:p>
    <w:p w14:paraId="59EA1703" w14:textId="77777777" w:rsidR="00333C68" w:rsidRDefault="00333C68" w:rsidP="00321373">
      <w:pPr>
        <w:spacing w:after="0" w:line="240" w:lineRule="auto"/>
        <w:rPr>
          <w:rFonts w:ascii="Oracle Sans" w:hAnsi="Oracle Sans" w:cstheme="minorHAnsi"/>
        </w:rPr>
      </w:pPr>
    </w:p>
    <w:p w14:paraId="6FB6F39C" w14:textId="47596D1B" w:rsidR="00333C68" w:rsidRDefault="00B30D8C" w:rsidP="00321373">
      <w:pPr>
        <w:pStyle w:val="P68B1DB1-Normal6"/>
        <w:spacing w:after="0" w:line="240" w:lineRule="auto"/>
      </w:pPr>
      <w:bookmarkStart w:id="0" w:name="_Hlk144840880"/>
      <w:r>
        <w:t xml:space="preserve">MySQL HeatWave Lakehouse è ora disponibile su AWS </w:t>
      </w:r>
    </w:p>
    <w:p w14:paraId="505B1373" w14:textId="77777777" w:rsidR="0045287B" w:rsidRDefault="0045287B" w:rsidP="00321373">
      <w:pPr>
        <w:pStyle w:val="P68B1DB1-Normal6"/>
        <w:spacing w:after="0" w:line="240" w:lineRule="auto"/>
        <w:rPr>
          <w:bCs/>
        </w:rPr>
      </w:pPr>
    </w:p>
    <w:p w14:paraId="58AC8FE5" w14:textId="09ED9B95" w:rsidR="00333C68" w:rsidRDefault="00B30D8C" w:rsidP="00321373">
      <w:pPr>
        <w:spacing w:after="0" w:line="240" w:lineRule="auto"/>
        <w:rPr>
          <w:rFonts w:ascii="Oracle Sans" w:hAnsi="Oracle Sans"/>
        </w:rPr>
      </w:pPr>
      <w:r>
        <w:rPr>
          <w:rFonts w:ascii="Oracle Sans" w:hAnsi="Oracle Sans" w:cs="Arial"/>
          <w:color w:val="000000"/>
        </w:rPr>
        <w:t>Con l'aggiunta della funzionalità Lakehouse su MySQL HeatWave, i clienti AWS potranno eseguire l'elaborazione delle transazioni, l'analisi in tempo reale tra data warehouse e data lake e l'apprendimento automatico</w:t>
      </w:r>
      <w:r w:rsidR="00E7525B">
        <w:rPr>
          <w:rFonts w:ascii="Oracle Sans" w:hAnsi="Oracle Sans" w:cs="Arial"/>
          <w:color w:val="000000"/>
        </w:rPr>
        <w:t>, il tutto</w:t>
      </w:r>
      <w:r>
        <w:rPr>
          <w:rFonts w:ascii="Oracle Sans" w:hAnsi="Oracle Sans" w:cs="Arial"/>
          <w:color w:val="000000"/>
        </w:rPr>
        <w:t xml:space="preserve"> in un unico servizio database</w:t>
      </w:r>
      <w:r w:rsidR="0045287B">
        <w:rPr>
          <w:rFonts w:ascii="Oracle Sans" w:hAnsi="Oracle Sans" w:cs="Arial"/>
          <w:color w:val="000000"/>
        </w:rPr>
        <w:t xml:space="preserve"> in cloud</w:t>
      </w:r>
      <w:r>
        <w:rPr>
          <w:rFonts w:ascii="Oracle Sans" w:hAnsi="Oracle Sans" w:cs="Arial"/>
          <w:color w:val="000000"/>
        </w:rPr>
        <w:t xml:space="preserve">. In questo modo è possibile </w:t>
      </w:r>
      <w:r>
        <w:rPr>
          <w:rFonts w:ascii="Oracle Sans" w:hAnsi="Oracle Sans"/>
        </w:rPr>
        <w:t xml:space="preserve">sostituire cinque servizi AWS con uno, ridurre la complessità e ottenere il miglior rapporto prezzo/prestazioni </w:t>
      </w:r>
      <w:r w:rsidR="00E7525B" w:rsidRPr="00C51E6A">
        <w:rPr>
          <w:rFonts w:ascii="Oracle Sans" w:hAnsi="Oracle Sans"/>
        </w:rPr>
        <w:t xml:space="preserve">in ambito </w:t>
      </w:r>
      <w:proofErr w:type="spellStart"/>
      <w:r w:rsidR="00E7525B" w:rsidRPr="00C51E6A">
        <w:rPr>
          <w:rFonts w:ascii="Oracle Sans" w:hAnsi="Oracle Sans"/>
          <w:i/>
          <w:iCs/>
        </w:rPr>
        <w:t>a</w:t>
      </w:r>
      <w:r w:rsidR="0045287B" w:rsidRPr="00C51E6A">
        <w:rPr>
          <w:rFonts w:ascii="Oracle Sans" w:hAnsi="Oracle Sans"/>
          <w:i/>
          <w:iCs/>
        </w:rPr>
        <w:t>nalytics</w:t>
      </w:r>
      <w:proofErr w:type="spellEnd"/>
      <w:r w:rsidR="0045287B" w:rsidRPr="00C51E6A">
        <w:rPr>
          <w:rFonts w:ascii="Oracle Sans" w:hAnsi="Oracle Sans"/>
          <w:i/>
          <w:iCs/>
        </w:rPr>
        <w:t>.</w:t>
      </w:r>
    </w:p>
    <w:p w14:paraId="6F193781" w14:textId="77777777" w:rsidR="00333C68" w:rsidRDefault="00333C68" w:rsidP="00321373">
      <w:pPr>
        <w:spacing w:after="0" w:line="240" w:lineRule="auto"/>
        <w:rPr>
          <w:rFonts w:ascii="Oracle Sans" w:hAnsi="Oracle Sans" w:cs="Arial"/>
          <w:color w:val="000000"/>
        </w:rPr>
      </w:pPr>
    </w:p>
    <w:p w14:paraId="55C6A6A2" w14:textId="7ED9AE4C" w:rsidR="00333C68" w:rsidRDefault="00B30D8C" w:rsidP="00321373">
      <w:pPr>
        <w:pStyle w:val="P68B1DB1-Normal7"/>
        <w:spacing w:after="0" w:line="240" w:lineRule="auto"/>
      </w:pPr>
      <w:r>
        <w:t xml:space="preserve">Con HeatWave Lakehouse, i clienti AWS possono eseguire query su centinaia di terabyte di dati </w:t>
      </w:r>
      <w:r w:rsidR="009B48C1">
        <w:t xml:space="preserve">nello object storage </w:t>
      </w:r>
      <w:r>
        <w:t>Amazon S3 in una vasta gamma di formati di file</w:t>
      </w:r>
      <w:r w:rsidR="009B48C1">
        <w:t xml:space="preserve"> - </w:t>
      </w:r>
      <w:r>
        <w:t>tra cui CSV, Parquet, Avro</w:t>
      </w:r>
      <w:r w:rsidR="009B48C1">
        <w:t xml:space="preserve"> </w:t>
      </w:r>
      <w:proofErr w:type="gramStart"/>
      <w:r w:rsidR="009B48C1">
        <w:t xml:space="preserve">- </w:t>
      </w:r>
      <w:r>
        <w:t xml:space="preserve"> ed</w:t>
      </w:r>
      <w:proofErr w:type="gramEnd"/>
      <w:r>
        <w:t xml:space="preserve"> esportare da altri database senza copiare i dati S3 nel database. L'elaborazione delle query viene eseguita interamente nel motore HeatWave, </w:t>
      </w:r>
      <w:r w:rsidR="00E7525B" w:rsidRPr="001D2B0B">
        <w:t xml:space="preserve">e </w:t>
      </w:r>
      <w:r w:rsidRPr="001D2B0B">
        <w:t>consent</w:t>
      </w:r>
      <w:r w:rsidR="00E7525B" w:rsidRPr="001D2B0B">
        <w:t>e</w:t>
      </w:r>
      <w:r w:rsidRPr="001D2B0B">
        <w:t xml:space="preserve"> di sfruttare HeatWave per carichi di lavoro compatibili </w:t>
      </w:r>
      <w:r w:rsidR="00082BC9" w:rsidRPr="001D2B0B">
        <w:t xml:space="preserve">con MySQL </w:t>
      </w:r>
      <w:r w:rsidRPr="001D2B0B">
        <w:t xml:space="preserve">e </w:t>
      </w:r>
      <w:proofErr w:type="gramStart"/>
      <w:r w:rsidRPr="001D2B0B">
        <w:t>non</w:t>
      </w:r>
      <w:proofErr w:type="gramEnd"/>
      <w:r w:rsidRPr="001D2B0B">
        <w:t xml:space="preserve">. I clienti possono continuare a eseguire applicazioni su AWS senza modifiche e senza </w:t>
      </w:r>
      <w:r w:rsidR="00082BC9" w:rsidRPr="001D2B0B">
        <w:t>incorrere nei</w:t>
      </w:r>
      <w:r w:rsidRPr="001D2B0B">
        <w:t xml:space="preserve"> costi </w:t>
      </w:r>
      <w:r w:rsidR="009B48C1" w:rsidRPr="001D2B0B">
        <w:t xml:space="preserve">di </w:t>
      </w:r>
      <w:r w:rsidR="009B48C1" w:rsidRPr="001D2B0B">
        <w:rPr>
          <w:i/>
          <w:iCs/>
        </w:rPr>
        <w:t>data egress</w:t>
      </w:r>
      <w:r w:rsidR="009B48C1" w:rsidRPr="001D2B0B">
        <w:t xml:space="preserve"> irragionevolmente </w:t>
      </w:r>
      <w:r w:rsidR="00082BC9" w:rsidRPr="001D2B0B">
        <w:t xml:space="preserve">alti </w:t>
      </w:r>
      <w:r w:rsidR="009B48C1" w:rsidRPr="001D2B0B">
        <w:t>applicati da</w:t>
      </w:r>
      <w:r w:rsidRPr="001D2B0B">
        <w:t xml:space="preserve"> AWS. Inoltre,</w:t>
      </w:r>
      <w:r>
        <w:t xml:space="preserve"> è possibile eseguire AutoML su HeatWave Lakehouse, in modo da addestrare automaticamente i modelli di machine learning, eseguire inferenze e</w:t>
      </w:r>
      <w:r w:rsidR="00082BC9">
        <w:t xml:space="preserve">d </w:t>
      </w:r>
      <w:r w:rsidR="009B48C1" w:rsidRPr="006A5D4A">
        <w:rPr>
          <w:i/>
          <w:iCs/>
        </w:rPr>
        <w:t>explanation</w:t>
      </w:r>
      <w:r w:rsidRPr="006A5D4A">
        <w:t xml:space="preserve"> sui file archiviati su S3 ed effettuare vari tipi di analisi di machine learning dalla console interattiva di MySQL HeatWave.</w:t>
      </w:r>
      <w:r>
        <w:t xml:space="preserve"> MySQL HeatWave Lakehouse su AWS è </w:t>
      </w:r>
      <w:r w:rsidR="009B48C1">
        <w:t>attualmente disponibile in forma limitata.</w:t>
      </w:r>
    </w:p>
    <w:p w14:paraId="2135AC22" w14:textId="77777777" w:rsidR="00333C68" w:rsidRDefault="00333C68" w:rsidP="00321373">
      <w:pPr>
        <w:pStyle w:val="NormaleWeb"/>
        <w:spacing w:after="0"/>
        <w:rPr>
          <w:rFonts w:ascii="Oracle Sans" w:hAnsi="Oracle Sans" w:cs="Arial"/>
          <w:b/>
          <w:bCs/>
          <w:color w:val="auto"/>
          <w:sz w:val="22"/>
          <w:szCs w:val="22"/>
        </w:rPr>
      </w:pPr>
      <w:bookmarkStart w:id="1" w:name="_Hlk144359980"/>
      <w:bookmarkEnd w:id="0"/>
    </w:p>
    <w:p w14:paraId="78EBE613" w14:textId="34137B8D" w:rsidR="009B48C1" w:rsidRPr="00082BC9" w:rsidRDefault="00B30D8C" w:rsidP="00321373">
      <w:pPr>
        <w:pStyle w:val="P68B1DB1-NormalWeb8"/>
        <w:spacing w:after="0"/>
      </w:pPr>
      <w:r>
        <w:t>Oracle Alloy aiuta i partner a generare nuove opportunità di business operando a livello locale</w:t>
      </w:r>
      <w:r w:rsidR="00082BC9">
        <w:br/>
      </w:r>
    </w:p>
    <w:p w14:paraId="6CA65A47" w14:textId="0237A02A" w:rsidR="00333C68" w:rsidRDefault="00B30D8C" w:rsidP="00321373">
      <w:pPr>
        <w:spacing w:after="0" w:line="240" w:lineRule="auto"/>
        <w:rPr>
          <w:rFonts w:ascii="Oracle Sans" w:hAnsi="Oracle Sans"/>
        </w:rPr>
      </w:pPr>
      <w:r w:rsidRPr="006A5D4A">
        <w:rPr>
          <w:rFonts w:ascii="Oracle Sans" w:hAnsi="Oracle Sans"/>
        </w:rPr>
        <w:t>Oracle Alloy</w:t>
      </w:r>
      <w:r w:rsidR="009B48C1" w:rsidRPr="006A5D4A">
        <w:rPr>
          <w:rFonts w:ascii="Oracle Sans" w:hAnsi="Oracle Sans"/>
        </w:rPr>
        <w:t xml:space="preserve"> è ora disponibile a livello globale. Ques</w:t>
      </w:r>
      <w:r w:rsidR="00082BC9" w:rsidRPr="006A5D4A">
        <w:rPr>
          <w:rFonts w:ascii="Oracle Sans" w:hAnsi="Oracle Sans"/>
        </w:rPr>
        <w:t xml:space="preserve">ta già premiata </w:t>
      </w:r>
      <w:r w:rsidRPr="006A5D4A">
        <w:rPr>
          <w:rFonts w:ascii="Oracle Sans" w:hAnsi="Oracle Sans"/>
        </w:rPr>
        <w:t xml:space="preserve">piattaforma di </w:t>
      </w:r>
      <w:r w:rsidR="00082BC9" w:rsidRPr="006A5D4A">
        <w:rPr>
          <w:rFonts w:ascii="Oracle Sans" w:hAnsi="Oracle Sans"/>
        </w:rPr>
        <w:t xml:space="preserve">cloud </w:t>
      </w:r>
      <w:r w:rsidRPr="006A5D4A">
        <w:rPr>
          <w:rFonts w:ascii="Oracle Sans" w:hAnsi="Oracle Sans"/>
        </w:rPr>
        <w:t>infrastruttura</w:t>
      </w:r>
      <w:r w:rsidR="00082BC9" w:rsidRPr="006A5D4A">
        <w:rPr>
          <w:rFonts w:ascii="Oracle Sans" w:hAnsi="Oracle Sans"/>
        </w:rPr>
        <w:t xml:space="preserve">le </w:t>
      </w:r>
      <w:r w:rsidRPr="006A5D4A">
        <w:rPr>
          <w:rFonts w:ascii="Oracle Sans" w:hAnsi="Oracle Sans"/>
        </w:rPr>
        <w:t xml:space="preserve">consente a </w:t>
      </w:r>
      <w:r w:rsidR="00082BC9" w:rsidRPr="006A5D4A">
        <w:rPr>
          <w:rFonts w:ascii="Oracle Sans" w:hAnsi="Oracle Sans"/>
          <w:i/>
          <w:iCs/>
        </w:rPr>
        <w:t xml:space="preserve">service </w:t>
      </w:r>
      <w:r w:rsidRPr="006A5D4A">
        <w:rPr>
          <w:rFonts w:ascii="Oracle Sans" w:hAnsi="Oracle Sans"/>
          <w:i/>
          <w:iCs/>
        </w:rPr>
        <w:t>provider</w:t>
      </w:r>
      <w:r w:rsidR="00082BC9" w:rsidRPr="006A5D4A">
        <w:rPr>
          <w:rFonts w:ascii="Oracle Sans" w:hAnsi="Oracle Sans"/>
        </w:rPr>
        <w:t>,</w:t>
      </w:r>
      <w:r w:rsidRPr="006A5D4A">
        <w:rPr>
          <w:rFonts w:ascii="Oracle Sans" w:hAnsi="Oracle Sans"/>
        </w:rPr>
        <w:t xml:space="preserve"> </w:t>
      </w:r>
      <w:r w:rsidR="00082BC9" w:rsidRPr="006A5D4A">
        <w:rPr>
          <w:rFonts w:ascii="Oracle Sans" w:hAnsi="Oracle Sans"/>
          <w:i/>
          <w:iCs/>
        </w:rPr>
        <w:t>system integrator</w:t>
      </w:r>
      <w:r w:rsidR="00082BC9" w:rsidRPr="006A5D4A">
        <w:rPr>
          <w:rFonts w:ascii="Oracle Sans" w:hAnsi="Oracle Sans"/>
        </w:rPr>
        <w:t xml:space="preserve">, </w:t>
      </w:r>
      <w:r w:rsidRPr="006A5D4A">
        <w:rPr>
          <w:rFonts w:ascii="Oracle Sans" w:hAnsi="Oracle Sans"/>
        </w:rPr>
        <w:t xml:space="preserve">fornitori di software indipendenti (ISV) e ad altre organizzazioni di sfruttare opportunità di business senza pari e </w:t>
      </w:r>
      <w:r w:rsidR="009B48C1" w:rsidRPr="006A5D4A">
        <w:rPr>
          <w:rFonts w:ascii="Oracle Sans" w:hAnsi="Oracle Sans"/>
        </w:rPr>
        <w:t xml:space="preserve">le </w:t>
      </w:r>
      <w:r w:rsidRPr="006A5D4A">
        <w:rPr>
          <w:rFonts w:ascii="Oracle Sans" w:hAnsi="Oracle Sans"/>
        </w:rPr>
        <w:t xml:space="preserve">nuove </w:t>
      </w:r>
      <w:r w:rsidR="009B48C1" w:rsidRPr="006A5D4A">
        <w:rPr>
          <w:rFonts w:ascii="Oracle Sans" w:hAnsi="Oracle Sans"/>
        </w:rPr>
        <w:t>possibilità</w:t>
      </w:r>
      <w:r w:rsidRPr="006A5D4A">
        <w:rPr>
          <w:rFonts w:ascii="Oracle Sans" w:hAnsi="Oracle Sans"/>
        </w:rPr>
        <w:t xml:space="preserve"> di crescita </w:t>
      </w:r>
      <w:r w:rsidR="009B48C1" w:rsidRPr="006A5D4A">
        <w:rPr>
          <w:rFonts w:ascii="Oracle Sans" w:hAnsi="Oracle Sans"/>
        </w:rPr>
        <w:t xml:space="preserve">offerte dal </w:t>
      </w:r>
      <w:r w:rsidRPr="006A5D4A">
        <w:rPr>
          <w:rFonts w:ascii="Oracle Sans" w:hAnsi="Oracle Sans"/>
        </w:rPr>
        <w:t xml:space="preserve">cloud. </w:t>
      </w:r>
      <w:r w:rsidR="009B48C1" w:rsidRPr="006A5D4A">
        <w:rPr>
          <w:rFonts w:ascii="Oracle Sans" w:hAnsi="Oracle Sans"/>
        </w:rPr>
        <w:t xml:space="preserve">Ad esempio, </w:t>
      </w:r>
      <w:hyperlink r:id="rId10" w:history="1">
        <w:r w:rsidRPr="006A5D4A">
          <w:rPr>
            <w:rStyle w:val="Collegamentoipertestuale"/>
            <w:rFonts w:ascii="Oracle Sans" w:hAnsi="Oracle Sans" w:cs="Arial"/>
          </w:rPr>
          <w:t xml:space="preserve">Nomura </w:t>
        </w:r>
        <w:proofErr w:type="spellStart"/>
        <w:r w:rsidRPr="006A5D4A">
          <w:rPr>
            <w:rStyle w:val="Collegamentoipertestuale"/>
            <w:rFonts w:ascii="Oracle Sans" w:hAnsi="Oracle Sans" w:cs="Arial"/>
          </w:rPr>
          <w:t>Research</w:t>
        </w:r>
        <w:proofErr w:type="spellEnd"/>
        <w:r w:rsidRPr="006A5D4A">
          <w:rPr>
            <w:rStyle w:val="Collegamentoipertestuale"/>
            <w:rFonts w:ascii="Oracle Sans" w:hAnsi="Oracle Sans" w:cs="Arial"/>
          </w:rPr>
          <w:t xml:space="preserve"> Institute, Ltd. (NRI)</w:t>
        </w:r>
      </w:hyperlink>
      <w:r w:rsidRPr="006A5D4A">
        <w:rPr>
          <w:rFonts w:ascii="Oracle Sans" w:hAnsi="Oracle Sans" w:cs="Arial"/>
        </w:rPr>
        <w:t xml:space="preserve">, </w:t>
      </w:r>
      <w:r w:rsidR="00B37308" w:rsidRPr="006A5D4A">
        <w:rPr>
          <w:rFonts w:ascii="Oracle Sans" w:hAnsi="Oracle Sans" w:cs="Arial"/>
        </w:rPr>
        <w:t xml:space="preserve">società giapponese </w:t>
      </w:r>
      <w:r w:rsidRPr="006A5D4A">
        <w:rPr>
          <w:rFonts w:ascii="Oracle Sans" w:hAnsi="Oracle Sans" w:cs="Arial"/>
        </w:rPr>
        <w:t xml:space="preserve">leader globale </w:t>
      </w:r>
      <w:r w:rsidR="00B37308" w:rsidRPr="006A5D4A">
        <w:rPr>
          <w:rFonts w:ascii="Oracle Sans" w:hAnsi="Oracle Sans" w:cs="Arial"/>
        </w:rPr>
        <w:t>nei</w:t>
      </w:r>
      <w:r w:rsidRPr="006A5D4A">
        <w:rPr>
          <w:rFonts w:ascii="Oracle Sans" w:hAnsi="Oracle Sans" w:cs="Arial"/>
        </w:rPr>
        <w:t xml:space="preserve"> servizi di consulenza e soluzioni</w:t>
      </w:r>
      <w:r w:rsidR="00B37308" w:rsidRPr="006A5D4A">
        <w:rPr>
          <w:rFonts w:ascii="Oracle Sans" w:hAnsi="Oracle Sans" w:cs="Arial"/>
        </w:rPr>
        <w:t xml:space="preserve"> finanziarie, </w:t>
      </w:r>
      <w:r w:rsidRPr="006A5D4A">
        <w:rPr>
          <w:rFonts w:ascii="Oracle Sans" w:hAnsi="Oracle Sans" w:cs="Arial"/>
        </w:rPr>
        <w:t xml:space="preserve">ha scelto Alloy per assistere i </w:t>
      </w:r>
      <w:r w:rsidR="009B48C1" w:rsidRPr="006A5D4A">
        <w:rPr>
          <w:rFonts w:ascii="Oracle Sans" w:hAnsi="Oracle Sans" w:cs="Arial"/>
        </w:rPr>
        <w:t xml:space="preserve">suoi </w:t>
      </w:r>
      <w:r w:rsidRPr="006A5D4A">
        <w:rPr>
          <w:rFonts w:ascii="Oracle Sans" w:hAnsi="Oracle Sans" w:cs="Arial"/>
        </w:rPr>
        <w:t>clienti nella transizione al cloud in modo più rapido e sicuro.</w:t>
      </w:r>
    </w:p>
    <w:p w14:paraId="44E24BBB" w14:textId="77777777" w:rsidR="00333C68" w:rsidRDefault="00333C68" w:rsidP="00321373">
      <w:pPr>
        <w:spacing w:after="0" w:line="240" w:lineRule="auto"/>
        <w:rPr>
          <w:rFonts w:ascii="Oracle Sans" w:hAnsi="Oracle Sans" w:cs="Arial"/>
        </w:rPr>
      </w:pPr>
    </w:p>
    <w:p w14:paraId="38801B2D" w14:textId="617FAE46" w:rsidR="00333C68" w:rsidRPr="009B48C1" w:rsidRDefault="00321373" w:rsidP="00321373">
      <w:pPr>
        <w:spacing w:after="0" w:line="240" w:lineRule="auto"/>
        <w:rPr>
          <w:rFonts w:ascii="Oracle Sans" w:hAnsi="Oracle Sans"/>
        </w:rPr>
      </w:pPr>
      <w:hyperlink r:id="rId11" w:history="1">
        <w:r w:rsidR="00B30D8C" w:rsidRPr="00927621">
          <w:rPr>
            <w:rStyle w:val="Collegamentoipertestuale"/>
            <w:rFonts w:ascii="Oracle Sans" w:hAnsi="Oracle Sans" w:cs="Arial"/>
          </w:rPr>
          <w:t>Con Alloy</w:t>
        </w:r>
      </w:hyperlink>
      <w:r w:rsidR="00B30D8C" w:rsidRPr="00927621">
        <w:rPr>
          <w:rFonts w:ascii="Oracle Sans" w:hAnsi="Oracle Sans"/>
        </w:rPr>
        <w:t xml:space="preserve">, NRI </w:t>
      </w:r>
      <w:r w:rsidR="009B48C1" w:rsidRPr="00927621">
        <w:rPr>
          <w:rFonts w:ascii="Oracle Sans" w:hAnsi="Oracle Sans"/>
        </w:rPr>
        <w:t>farà</w:t>
      </w:r>
      <w:r w:rsidR="00B30D8C" w:rsidRPr="00927621">
        <w:rPr>
          <w:rFonts w:ascii="Oracle Sans" w:hAnsi="Oracle Sans"/>
        </w:rPr>
        <w:t xml:space="preserve"> crescere il proprio business cloud offrendo ai </w:t>
      </w:r>
      <w:r w:rsidR="009B48C1" w:rsidRPr="00927621">
        <w:rPr>
          <w:rFonts w:ascii="Oracle Sans" w:hAnsi="Oracle Sans"/>
        </w:rPr>
        <w:t>c</w:t>
      </w:r>
      <w:r w:rsidR="00B30D8C" w:rsidRPr="00927621">
        <w:rPr>
          <w:rFonts w:ascii="Oracle Sans" w:hAnsi="Oracle Sans"/>
        </w:rPr>
        <w:t xml:space="preserve">lienti l'accesso a oltre </w:t>
      </w:r>
      <w:proofErr w:type="gramStart"/>
      <w:r w:rsidR="00B30D8C" w:rsidRPr="00927621">
        <w:rPr>
          <w:rFonts w:ascii="Oracle Sans" w:hAnsi="Oracle Sans"/>
        </w:rPr>
        <w:t>100</w:t>
      </w:r>
      <w:proofErr w:type="gramEnd"/>
      <w:r w:rsidR="00B30D8C" w:rsidRPr="00927621">
        <w:rPr>
          <w:rFonts w:ascii="Oracle Sans" w:hAnsi="Oracle Sans"/>
        </w:rPr>
        <w:t xml:space="preserve"> servizi OCI. Grazie al set completo di servizi OCI</w:t>
      </w:r>
      <w:r w:rsidR="009B48C1" w:rsidRPr="00927621">
        <w:rPr>
          <w:rFonts w:ascii="Oracle Sans" w:hAnsi="Oracle Sans"/>
        </w:rPr>
        <w:t xml:space="preserve"> presente </w:t>
      </w:r>
      <w:r w:rsidR="00B30D8C" w:rsidRPr="00927621">
        <w:rPr>
          <w:rFonts w:ascii="Oracle Sans" w:hAnsi="Oracle Sans"/>
        </w:rPr>
        <w:t xml:space="preserve">nel </w:t>
      </w:r>
      <w:r w:rsidR="009B48C1" w:rsidRPr="00927621">
        <w:rPr>
          <w:rFonts w:ascii="Oracle Sans" w:hAnsi="Oracle Sans"/>
        </w:rPr>
        <w:t xml:space="preserve">suo </w:t>
      </w:r>
      <w:r w:rsidR="00B30D8C" w:rsidRPr="00927621">
        <w:rPr>
          <w:rFonts w:ascii="Oracle Sans" w:hAnsi="Oracle Sans"/>
        </w:rPr>
        <w:t>data center, NRI sarà in grado di assistere la migrazione dei sistemi nel cloud</w:t>
      </w:r>
      <w:r w:rsidR="009B48C1" w:rsidRPr="00927621">
        <w:rPr>
          <w:rFonts w:ascii="Oracle Sans" w:hAnsi="Oracle Sans"/>
        </w:rPr>
        <w:t xml:space="preserve"> con funzionalità che rispettano </w:t>
      </w:r>
      <w:r w:rsidR="00B37308" w:rsidRPr="00927621">
        <w:rPr>
          <w:rFonts w:ascii="Oracle Sans" w:hAnsi="Oracle Sans"/>
        </w:rPr>
        <w:t xml:space="preserve">tutte </w:t>
      </w:r>
      <w:r w:rsidR="009B48C1" w:rsidRPr="00927621">
        <w:rPr>
          <w:rFonts w:ascii="Oracle Sans" w:hAnsi="Oracle Sans"/>
        </w:rPr>
        <w:t>le esigenze di governance</w:t>
      </w:r>
      <w:r w:rsidR="00B37308" w:rsidRPr="00927621">
        <w:rPr>
          <w:rFonts w:ascii="Oracle Sans" w:hAnsi="Oracle Sans"/>
        </w:rPr>
        <w:t xml:space="preserve">, conformità e </w:t>
      </w:r>
      <w:r w:rsidR="009B48C1" w:rsidRPr="00927621">
        <w:rPr>
          <w:rFonts w:ascii="Oracle Sans" w:hAnsi="Oracle Sans"/>
        </w:rPr>
        <w:t xml:space="preserve">sicurezza. </w:t>
      </w:r>
      <w:r w:rsidR="00B30D8C" w:rsidRPr="00927621">
        <w:rPr>
          <w:rFonts w:ascii="Oracle Sans" w:hAnsi="Oracle Sans"/>
        </w:rPr>
        <w:t>Inoltre, Alloy consentirà ai clienti di NRI di integrare i propri sistemi con le principali applicazioni e servizi del cloud finanziario di NRI e di sfruttare una piattaforma cloud, allineando conformità e governance ai rigorosi requisiti dei clienti, tra cui governance finanziaria e sovranità digitale. NRI implementerà Oracle Alloy nei data center di Tokyo e Osaka. NRI</w:t>
      </w:r>
      <w:r w:rsidR="00B37308" w:rsidRPr="00927621">
        <w:rPr>
          <w:rFonts w:ascii="Oracle Sans" w:hAnsi="Oracle Sans"/>
        </w:rPr>
        <w:t xml:space="preserve"> stessa </w:t>
      </w:r>
      <w:r w:rsidR="00B30D8C" w:rsidRPr="00927621">
        <w:rPr>
          <w:rFonts w:ascii="Oracle Sans" w:hAnsi="Oracle Sans"/>
        </w:rPr>
        <w:t>esegue</w:t>
      </w:r>
      <w:r w:rsidR="00B37308" w:rsidRPr="00927621">
        <w:rPr>
          <w:rFonts w:ascii="Oracle Sans" w:hAnsi="Oracle Sans"/>
        </w:rPr>
        <w:t xml:space="preserve"> t</w:t>
      </w:r>
      <w:r w:rsidR="00B30D8C" w:rsidRPr="00927621">
        <w:rPr>
          <w:rFonts w:ascii="Oracle Sans" w:hAnsi="Oracle Sans"/>
        </w:rPr>
        <w:t xml:space="preserve">re delle </w:t>
      </w:r>
      <w:r w:rsidR="009B48C1" w:rsidRPr="00927621">
        <w:rPr>
          <w:rFonts w:ascii="Oracle Sans" w:hAnsi="Oracle Sans"/>
        </w:rPr>
        <w:t xml:space="preserve">sue </w:t>
      </w:r>
      <w:r w:rsidR="00B30D8C" w:rsidRPr="00927621">
        <w:rPr>
          <w:rFonts w:ascii="Oracle Sans" w:hAnsi="Oracle Sans"/>
        </w:rPr>
        <w:t xml:space="preserve">applicazioni più critiche su OCI Dedicated Region: </w:t>
      </w:r>
      <w:hyperlink r:id="rId12" w:history="1">
        <w:r w:rsidR="00B30D8C" w:rsidRPr="00927621">
          <w:rPr>
            <w:rStyle w:val="Collegamentoipertestuale"/>
            <w:rFonts w:ascii="Oracle Sans" w:hAnsi="Oracle Sans"/>
          </w:rPr>
          <w:t>BESTWAY</w:t>
        </w:r>
      </w:hyperlink>
      <w:r w:rsidR="00B30D8C" w:rsidRPr="00927621">
        <w:rPr>
          <w:rFonts w:ascii="Oracle Sans" w:hAnsi="Oracle Sans"/>
        </w:rPr>
        <w:t xml:space="preserve">, </w:t>
      </w:r>
      <w:hyperlink r:id="rId13" w:history="1">
        <w:r w:rsidR="00B30D8C" w:rsidRPr="00927621">
          <w:rPr>
            <w:rStyle w:val="Collegamentoipertestuale"/>
            <w:rFonts w:ascii="Oracle Sans" w:hAnsi="Oracle Sans"/>
          </w:rPr>
          <w:t>T-STAR</w:t>
        </w:r>
      </w:hyperlink>
      <w:r w:rsidR="00B30D8C" w:rsidRPr="00927621">
        <w:rPr>
          <w:rFonts w:ascii="Oracle Sans" w:hAnsi="Oracle Sans"/>
        </w:rPr>
        <w:t xml:space="preserve"> e </w:t>
      </w:r>
      <w:hyperlink r:id="rId14" w:history="1">
        <w:r w:rsidR="00B30D8C" w:rsidRPr="00927621">
          <w:rPr>
            <w:rStyle w:val="Collegamentoipertestuale"/>
            <w:rFonts w:ascii="Oracle Sans" w:hAnsi="Oracle Sans"/>
          </w:rPr>
          <w:t>THE STAR</w:t>
        </w:r>
      </w:hyperlink>
      <w:r w:rsidR="00B30D8C" w:rsidRPr="00927621">
        <w:rPr>
          <w:rFonts w:ascii="Oracle Sans" w:hAnsi="Oracle Sans"/>
        </w:rPr>
        <w:t>.</w:t>
      </w:r>
    </w:p>
    <w:p w14:paraId="259F69D0" w14:textId="77777777" w:rsidR="00333C68" w:rsidRDefault="00333C68" w:rsidP="00321373">
      <w:pPr>
        <w:spacing w:after="0" w:line="240" w:lineRule="auto"/>
        <w:rPr>
          <w:rFonts w:ascii="Oracle Sans" w:hAnsi="Oracle Sans" w:cs="Arial"/>
        </w:rPr>
      </w:pPr>
    </w:p>
    <w:p w14:paraId="6FAB0995" w14:textId="49F28432" w:rsidR="00333C68" w:rsidRDefault="00B30D8C" w:rsidP="00321373">
      <w:pPr>
        <w:pStyle w:val="P68B1DB1-Normal9"/>
        <w:spacing w:after="0" w:line="240" w:lineRule="auto"/>
        <w:outlineLvl w:val="1"/>
      </w:pPr>
      <w:r>
        <w:t>"</w:t>
      </w:r>
      <w:r w:rsidRPr="009B48C1">
        <w:rPr>
          <w:i/>
          <w:iCs/>
        </w:rPr>
        <w:t xml:space="preserve">Siamo state una delle prime organizzazioni </w:t>
      </w:r>
      <w:proofErr w:type="gramStart"/>
      <w:r w:rsidRPr="009B48C1">
        <w:rPr>
          <w:i/>
          <w:iCs/>
        </w:rPr>
        <w:t>ad</w:t>
      </w:r>
      <w:proofErr w:type="gramEnd"/>
      <w:r w:rsidRPr="009B48C1">
        <w:rPr>
          <w:i/>
          <w:iCs/>
        </w:rPr>
        <w:t xml:space="preserve"> adottare OCI Dedicated Region. L'esecuzione delle tre principali applicazioni finanziarie in una Dedicated Region di OCI ci ha consentito di accelerare la crescita aziendale. Ora siamo pronti per il passo successivo nel nostro percorso con Oracle per aiutare i nostri clienti a ottenere i vantaggi del cloud su OCI</w:t>
      </w:r>
      <w:r>
        <w:t xml:space="preserve">", dichiara </w:t>
      </w:r>
      <w:r w:rsidRPr="009B48C1">
        <w:rPr>
          <w:b/>
          <w:bCs/>
        </w:rPr>
        <w:t>Shigekazu Ohmoto, Senior Corporate Managing Director d</w:t>
      </w:r>
      <w:r w:rsidR="009B48C1">
        <w:rPr>
          <w:b/>
          <w:bCs/>
        </w:rPr>
        <w:t>i</w:t>
      </w:r>
      <w:r w:rsidRPr="009B48C1">
        <w:rPr>
          <w:b/>
          <w:bCs/>
        </w:rPr>
        <w:t xml:space="preserve"> Nomura Research Institute</w:t>
      </w:r>
      <w:r>
        <w:t>. "</w:t>
      </w:r>
      <w:r w:rsidRPr="009B48C1">
        <w:rPr>
          <w:i/>
          <w:iCs/>
        </w:rPr>
        <w:t xml:space="preserve">Con </w:t>
      </w:r>
      <w:r w:rsidRPr="004B686F">
        <w:rPr>
          <w:i/>
          <w:iCs/>
        </w:rPr>
        <w:t xml:space="preserve">Oracle Alloy saremo in grado di fornire nuovi servizi cloud personalizzati e </w:t>
      </w:r>
      <w:r w:rsidR="009B48C1" w:rsidRPr="004B686F">
        <w:rPr>
          <w:i/>
          <w:iCs/>
        </w:rPr>
        <w:t xml:space="preserve">di </w:t>
      </w:r>
      <w:r w:rsidRPr="004B686F">
        <w:rPr>
          <w:i/>
          <w:iCs/>
        </w:rPr>
        <w:t xml:space="preserve">aiutare i nostri clienti </w:t>
      </w:r>
      <w:r w:rsidR="005B5666" w:rsidRPr="004B686F">
        <w:rPr>
          <w:i/>
          <w:iCs/>
        </w:rPr>
        <w:t>a migrare</w:t>
      </w:r>
      <w:r w:rsidRPr="004B686F">
        <w:rPr>
          <w:i/>
          <w:iCs/>
        </w:rPr>
        <w:t xml:space="preserve"> i propri sistemi </w:t>
      </w:r>
      <w:r w:rsidR="005B5666" w:rsidRPr="004B686F">
        <w:rPr>
          <w:i/>
          <w:iCs/>
        </w:rPr>
        <w:t>in</w:t>
      </w:r>
      <w:r w:rsidRPr="004B686F">
        <w:rPr>
          <w:i/>
          <w:iCs/>
        </w:rPr>
        <w:t xml:space="preserve"> cloud e modernizzarli, utilizzando i servizi e la tecnologia OCI più recent</w:t>
      </w:r>
      <w:r w:rsidR="005B5666" w:rsidRPr="004B686F">
        <w:rPr>
          <w:i/>
          <w:iCs/>
        </w:rPr>
        <w:t>e</w:t>
      </w:r>
      <w:r w:rsidRPr="004B686F">
        <w:rPr>
          <w:i/>
          <w:iCs/>
        </w:rPr>
        <w:t xml:space="preserve">, </w:t>
      </w:r>
      <w:r w:rsidR="005B5666" w:rsidRPr="004B686F">
        <w:rPr>
          <w:i/>
          <w:iCs/>
        </w:rPr>
        <w:t xml:space="preserve">ad esempio </w:t>
      </w:r>
      <w:r w:rsidRPr="004B686F">
        <w:rPr>
          <w:i/>
          <w:iCs/>
        </w:rPr>
        <w:t>l'intelligenza artificiale. Inoltre, potremo assisterli nell'integrazione dei sistemi con le nostre applicazioni SaaS. Oltre a favorire la nostra crescita, questo sistema contribuirà anche al successo dei nostri clienti</w:t>
      </w:r>
      <w:r w:rsidRPr="004B686F">
        <w:t>".</w:t>
      </w:r>
    </w:p>
    <w:bookmarkEnd w:id="1"/>
    <w:p w14:paraId="0F9B7BBD" w14:textId="77777777" w:rsidR="00333C68" w:rsidRDefault="00333C68" w:rsidP="00321373">
      <w:pPr>
        <w:shd w:val="clear" w:color="auto" w:fill="FFFFFF"/>
        <w:spacing w:after="0" w:line="240" w:lineRule="auto"/>
        <w:outlineLvl w:val="2"/>
        <w:rPr>
          <w:rFonts w:ascii="Oracle Sans" w:eastAsia="Times New Roman" w:hAnsi="Oracle Sans" w:cs="Arial"/>
          <w:b/>
          <w:bCs/>
          <w:color w:val="000000"/>
        </w:rPr>
      </w:pPr>
    </w:p>
    <w:p w14:paraId="7E6B7E67" w14:textId="77777777" w:rsidR="00333C68" w:rsidRDefault="00B30D8C" w:rsidP="00321373">
      <w:pPr>
        <w:pStyle w:val="P68B1DB1-lo-normal010"/>
        <w:spacing w:before="0" w:beforeAutospacing="0" w:after="0" w:afterAutospacing="0"/>
        <w:rPr>
          <w:szCs w:val="22"/>
        </w:rPr>
      </w:pPr>
      <w:r>
        <w:t>Informazioni sul cloud distribuito di OCI</w:t>
      </w:r>
    </w:p>
    <w:p w14:paraId="7CDD1EFD" w14:textId="5131155F" w:rsidR="00333C68" w:rsidRDefault="00B30D8C" w:rsidP="00321373">
      <w:pPr>
        <w:pStyle w:val="P68B1DB1-lo-normal011"/>
        <w:spacing w:before="0" w:beforeAutospacing="0" w:after="0" w:afterAutospacing="0"/>
        <w:rPr>
          <w:szCs w:val="22"/>
        </w:rPr>
      </w:pPr>
      <w:r w:rsidRPr="00D91820">
        <w:lastRenderedPageBreak/>
        <w:t>Il cloud distribuito di OCI offre ai clienti i vantaggi del cloud, con un maggiore controllo su residenza dei dati, local</w:t>
      </w:r>
      <w:r w:rsidR="005B5666" w:rsidRPr="00D91820">
        <w:t xml:space="preserve">izzazione e </w:t>
      </w:r>
      <w:r w:rsidRPr="00D91820">
        <w:t>autorit</w:t>
      </w:r>
      <w:r w:rsidR="009B48C1" w:rsidRPr="00D91820">
        <w:t>à</w:t>
      </w:r>
      <w:r w:rsidR="005B5666" w:rsidRPr="00D91820">
        <w:t>,</w:t>
      </w:r>
      <w:r w:rsidRPr="00D91820">
        <w:t xml:space="preserve"> anche su più cloud. </w:t>
      </w:r>
      <w:r w:rsidR="009B48C1" w:rsidRPr="00D91820">
        <w:t>Il cloud distribuito di OCI offre le seguenti opzioni.</w:t>
      </w:r>
    </w:p>
    <w:p w14:paraId="49FACD91" w14:textId="77777777" w:rsidR="00333C68" w:rsidRDefault="00B30D8C" w:rsidP="00321373">
      <w:pPr>
        <w:pStyle w:val="P68B1DB1-lo-normal011"/>
        <w:spacing w:before="0" w:beforeAutospacing="0" w:after="0" w:afterAutospacing="0"/>
        <w:rPr>
          <w:szCs w:val="22"/>
        </w:rPr>
      </w:pPr>
      <w:r>
        <w:t> </w:t>
      </w:r>
    </w:p>
    <w:p w14:paraId="35ACFEAE" w14:textId="1A4B732D" w:rsidR="00333C68" w:rsidRPr="00D91820" w:rsidRDefault="00B30D8C" w:rsidP="00321373">
      <w:pPr>
        <w:pStyle w:val="P68B1DB1-ListParagraph12"/>
        <w:numPr>
          <w:ilvl w:val="0"/>
          <w:numId w:val="8"/>
        </w:numPr>
        <w:contextualSpacing w:val="0"/>
        <w:rPr>
          <w:szCs w:val="22"/>
        </w:rPr>
      </w:pPr>
      <w:r w:rsidRPr="00D91820">
        <w:rPr>
          <w:b/>
        </w:rPr>
        <w:t>Multicloud:</w:t>
      </w:r>
      <w:r w:rsidRPr="00D91820">
        <w:t xml:space="preserve"> le funzionalità multicloud di OCI, come Oracle Database@Azure e MySQL HeatWave su AWS, consentono ai clienti di scegliere il miglior </w:t>
      </w:r>
      <w:r w:rsidR="005B5666" w:rsidRPr="00D91820">
        <w:rPr>
          <w:i/>
          <w:iCs/>
        </w:rPr>
        <w:t xml:space="preserve">cloud </w:t>
      </w:r>
      <w:r w:rsidRPr="00D91820">
        <w:rPr>
          <w:i/>
          <w:iCs/>
        </w:rPr>
        <w:t>provider</w:t>
      </w:r>
      <w:r w:rsidRPr="00D91820">
        <w:t xml:space="preserve"> per le applicazioni e i database.</w:t>
      </w:r>
    </w:p>
    <w:p w14:paraId="48B32C3B" w14:textId="19BC94E7" w:rsidR="00333C68" w:rsidRDefault="00B30D8C" w:rsidP="00321373">
      <w:pPr>
        <w:pStyle w:val="P68B1DB1-ListParagraph12"/>
        <w:numPr>
          <w:ilvl w:val="0"/>
          <w:numId w:val="8"/>
        </w:numPr>
        <w:contextualSpacing w:val="0"/>
        <w:rPr>
          <w:szCs w:val="22"/>
        </w:rPr>
      </w:pPr>
      <w:r>
        <w:rPr>
          <w:b/>
        </w:rPr>
        <w:t>Cloud ibrido:</w:t>
      </w:r>
      <w:r>
        <w:t xml:space="preserve"> OCI offre servizi cloud on-premise</w:t>
      </w:r>
      <w:r w:rsidR="005B5666">
        <w:t>, presso il data-center del cliente,</w:t>
      </w:r>
      <w:r>
        <w:t xml:space="preserve"> tramite Oracle Exadata Cloud@Customer e Compute Cloud@Customer e gestisce l'infrastruttura in oltre 60 paesi.</w:t>
      </w:r>
    </w:p>
    <w:p w14:paraId="1CB4B72A" w14:textId="6D9BE09B" w:rsidR="00333C68" w:rsidRPr="00D91820" w:rsidRDefault="00B30D8C" w:rsidP="00321373">
      <w:pPr>
        <w:pStyle w:val="P68B1DB1-ListParagraph13"/>
        <w:numPr>
          <w:ilvl w:val="0"/>
          <w:numId w:val="8"/>
        </w:numPr>
        <w:contextualSpacing w:val="0"/>
        <w:rPr>
          <w:rFonts w:ascii="Oracle Sans" w:hAnsi="Oracle Sans" w:cs="Calibri"/>
          <w:szCs w:val="22"/>
        </w:rPr>
      </w:pPr>
      <w:r>
        <w:rPr>
          <w:rFonts w:ascii="Oracle Sans" w:hAnsi="Oracle Sans" w:cs="Calibri"/>
          <w:b/>
        </w:rPr>
        <w:t>Cloud pubblico:</w:t>
      </w:r>
      <w:r>
        <w:rPr>
          <w:rFonts w:ascii="Oracle Sans" w:hAnsi="Oracle Sans"/>
        </w:rPr>
        <w:t xml:space="preserve"> OCI </w:t>
      </w:r>
      <w:r w:rsidRPr="00D91820">
        <w:rPr>
          <w:rFonts w:ascii="Oracle Sans" w:hAnsi="Oracle Sans"/>
        </w:rPr>
        <w:t xml:space="preserve">gestisce 45 </w:t>
      </w:r>
      <w:r w:rsidR="009B48C1" w:rsidRPr="00D91820">
        <w:rPr>
          <w:rFonts w:ascii="Oracle Sans" w:hAnsi="Oracle Sans"/>
        </w:rPr>
        <w:t>Cloud Region</w:t>
      </w:r>
      <w:r w:rsidRPr="00D91820">
        <w:rPr>
          <w:rFonts w:ascii="Oracle Sans" w:hAnsi="Oracle Sans"/>
        </w:rPr>
        <w:t xml:space="preserve"> in 23 paesi, </w:t>
      </w:r>
      <w:r w:rsidR="005B5666" w:rsidRPr="00D91820">
        <w:rPr>
          <w:rFonts w:ascii="Oracle Sans" w:hAnsi="Oracle Sans"/>
        </w:rPr>
        <w:t>tra cui anche una Sov</w:t>
      </w:r>
      <w:r w:rsidR="009B48C1" w:rsidRPr="00D91820">
        <w:rPr>
          <w:rFonts w:ascii="Oracle Sans" w:hAnsi="Oracle Sans"/>
        </w:rPr>
        <w:t>ereign Cloud Re</w:t>
      </w:r>
      <w:r w:rsidR="005B5666" w:rsidRPr="00D91820">
        <w:rPr>
          <w:rFonts w:ascii="Oracle Sans" w:hAnsi="Oracle Sans"/>
        </w:rPr>
        <w:t>g</w:t>
      </w:r>
      <w:r w:rsidR="009B48C1" w:rsidRPr="00D91820">
        <w:rPr>
          <w:rFonts w:ascii="Oracle Sans" w:hAnsi="Oracle Sans"/>
        </w:rPr>
        <w:t xml:space="preserve">ion in Unione Europea, creata </w:t>
      </w:r>
      <w:r w:rsidRPr="00D91820">
        <w:rPr>
          <w:rFonts w:ascii="Oracle Sans" w:hAnsi="Oracle Sans"/>
        </w:rPr>
        <w:t>per soddisfare i requisiti di residenza e sovranità dei dati dell'UE.</w:t>
      </w:r>
    </w:p>
    <w:p w14:paraId="5BE39707" w14:textId="150EC48F" w:rsidR="00333C68" w:rsidRPr="00D91820" w:rsidRDefault="00B30D8C" w:rsidP="00321373">
      <w:pPr>
        <w:pStyle w:val="P68B1DB1-ListParagraph12"/>
        <w:numPr>
          <w:ilvl w:val="0"/>
          <w:numId w:val="8"/>
        </w:numPr>
        <w:contextualSpacing w:val="0"/>
        <w:rPr>
          <w:szCs w:val="22"/>
        </w:rPr>
      </w:pPr>
      <w:r w:rsidRPr="00D91820">
        <w:rPr>
          <w:b/>
        </w:rPr>
        <w:t>Cloud dedicato:</w:t>
      </w:r>
      <w:r w:rsidRPr="00D91820">
        <w:t xml:space="preserve"> OCI offre ai clienti</w:t>
      </w:r>
      <w:r w:rsidR="009B48C1" w:rsidRPr="00D91820">
        <w:t xml:space="preserve"> le sue</w:t>
      </w:r>
      <w:r w:rsidRPr="00D91820">
        <w:t xml:space="preserve"> </w:t>
      </w:r>
      <w:r w:rsidR="009B48C1" w:rsidRPr="00D91820">
        <w:t>D</w:t>
      </w:r>
      <w:r w:rsidRPr="00D91820">
        <w:t xml:space="preserve">edicated </w:t>
      </w:r>
      <w:r w:rsidR="009B48C1" w:rsidRPr="00D91820">
        <w:t>R</w:t>
      </w:r>
      <w:r w:rsidRPr="00D91820">
        <w:t>egion per eseguire tutti i servizi cloud Oracle all'interno dei</w:t>
      </w:r>
      <w:r w:rsidR="005B5666" w:rsidRPr="00D91820">
        <w:t xml:space="preserve"> propri</w:t>
      </w:r>
      <w:r w:rsidRPr="00D91820">
        <w:t xml:space="preserve"> data</w:t>
      </w:r>
      <w:r w:rsidR="005B5666" w:rsidRPr="00D91820">
        <w:t>-</w:t>
      </w:r>
      <w:r w:rsidRPr="00D91820">
        <w:t xml:space="preserve">center, mentre Oracle Alloy consente ai partner di personalizzare i servizi cloud e l'esperienza </w:t>
      </w:r>
      <w:r w:rsidR="005B5666" w:rsidRPr="00D91820">
        <w:t xml:space="preserve">del </w:t>
      </w:r>
      <w:r w:rsidRPr="00D91820">
        <w:t xml:space="preserve">cliente. Oracle gestisce anche </w:t>
      </w:r>
      <w:r w:rsidR="005B5666" w:rsidRPr="00D91820">
        <w:t>C</w:t>
      </w:r>
      <w:r w:rsidRPr="00D91820">
        <w:t xml:space="preserve">loud </w:t>
      </w:r>
      <w:r w:rsidR="005B5666" w:rsidRPr="00D91820">
        <w:t>Region isolate</w:t>
      </w:r>
      <w:r w:rsidRPr="00D91820">
        <w:t xml:space="preserve"> </w:t>
      </w:r>
      <w:r w:rsidR="005B5666" w:rsidRPr="00D91820">
        <w:t xml:space="preserve">governative </w:t>
      </w:r>
      <w:r w:rsidRPr="00D91820">
        <w:t xml:space="preserve">per Stati Uniti, Regno Unito e Australia e </w:t>
      </w:r>
      <w:r w:rsidR="005B5666" w:rsidRPr="00D91820">
        <w:t xml:space="preserve">Cloud Region </w:t>
      </w:r>
      <w:r w:rsidRPr="00D91820">
        <w:t>isolate per la sicurezza nazionale negli Stati Uniti.</w:t>
      </w:r>
    </w:p>
    <w:p w14:paraId="14BFDBB4" w14:textId="77777777" w:rsidR="00333C68" w:rsidRDefault="00333C68" w:rsidP="00321373">
      <w:pPr>
        <w:shd w:val="clear" w:color="auto" w:fill="FFFFFF"/>
        <w:spacing w:after="0" w:line="240" w:lineRule="auto"/>
        <w:outlineLvl w:val="2"/>
        <w:rPr>
          <w:rFonts w:ascii="Oracle Sans" w:eastAsia="Times New Roman" w:hAnsi="Oracle Sans" w:cs="Arial"/>
          <w:b/>
          <w:bCs/>
          <w:color w:val="000000"/>
        </w:rPr>
      </w:pPr>
    </w:p>
    <w:p w14:paraId="5AE6B6A2" w14:textId="15BD284D" w:rsidR="00333C68" w:rsidRDefault="00B30D8C" w:rsidP="00321373">
      <w:pPr>
        <w:pStyle w:val="P68B1DB1-Normal14"/>
        <w:shd w:val="clear" w:color="auto" w:fill="FFFFFF"/>
        <w:spacing w:after="0" w:line="240" w:lineRule="auto"/>
        <w:outlineLvl w:val="2"/>
        <w:rPr>
          <w:bCs/>
        </w:rPr>
      </w:pPr>
      <w:r>
        <w:t>Risorse aggiuntive</w:t>
      </w:r>
    </w:p>
    <w:p w14:paraId="5FF94ECC" w14:textId="77777777" w:rsidR="00333C68" w:rsidRDefault="00B30D8C" w:rsidP="00321373">
      <w:pPr>
        <w:pStyle w:val="P68B1DB1-Normal15"/>
        <w:numPr>
          <w:ilvl w:val="0"/>
          <w:numId w:val="2"/>
        </w:numPr>
        <w:spacing w:after="0" w:line="240" w:lineRule="auto"/>
      </w:pPr>
      <w:r>
        <w:t xml:space="preserve">Maggiori informazioni su </w:t>
      </w:r>
      <w:hyperlink r:id="rId15" w:history="1">
        <w:r>
          <w:rPr>
            <w:color w:val="0000FF"/>
            <w:u w:val="single"/>
          </w:rPr>
          <w:t>Oracle Cloud Infrastructure</w:t>
        </w:r>
      </w:hyperlink>
    </w:p>
    <w:p w14:paraId="7A50E22A" w14:textId="604A08F5" w:rsidR="00333C68" w:rsidRDefault="00B30D8C" w:rsidP="00321373">
      <w:pPr>
        <w:numPr>
          <w:ilvl w:val="0"/>
          <w:numId w:val="2"/>
        </w:numPr>
        <w:spacing w:after="0" w:line="240" w:lineRule="auto"/>
        <w:rPr>
          <w:rFonts w:ascii="Oracle Sans" w:hAnsi="Oracle Sans"/>
        </w:rPr>
      </w:pPr>
      <w:r>
        <w:rPr>
          <w:rFonts w:ascii="Oracle Sans" w:hAnsi="Oracle Sans"/>
        </w:rPr>
        <w:t xml:space="preserve">Maggiori informazioni su </w:t>
      </w:r>
      <w:hyperlink r:id="rId16" w:history="1">
        <w:r>
          <w:rPr>
            <w:rStyle w:val="Collegamentoipertestuale"/>
            <w:rFonts w:ascii="Oracle Sans" w:hAnsi="Oracle Sans"/>
          </w:rPr>
          <w:t>Oracle Database@Azure</w:t>
        </w:r>
      </w:hyperlink>
    </w:p>
    <w:p w14:paraId="0C016158" w14:textId="77777777" w:rsidR="00333C68" w:rsidRDefault="00B30D8C" w:rsidP="00321373">
      <w:pPr>
        <w:numPr>
          <w:ilvl w:val="0"/>
          <w:numId w:val="2"/>
        </w:numPr>
        <w:spacing w:after="0" w:line="240" w:lineRule="auto"/>
        <w:rPr>
          <w:rFonts w:ascii="Oracle Sans" w:hAnsi="Oracle Sans"/>
        </w:rPr>
      </w:pPr>
      <w:r>
        <w:rPr>
          <w:rFonts w:ascii="Oracle Sans" w:hAnsi="Oracle Sans"/>
        </w:rPr>
        <w:t xml:space="preserve">Maggiori informazioni su </w:t>
      </w:r>
      <w:hyperlink r:id="rId17" w:history="1">
        <w:r>
          <w:rPr>
            <w:rStyle w:val="Collegamentoipertestuale"/>
            <w:rFonts w:ascii="Oracle Sans" w:hAnsi="Oracle Sans"/>
          </w:rPr>
          <w:t>Oracle Alloy</w:t>
        </w:r>
      </w:hyperlink>
    </w:p>
    <w:p w14:paraId="2C0018A7" w14:textId="748DBA32" w:rsidR="00333C68" w:rsidRDefault="00B30D8C" w:rsidP="00321373">
      <w:pPr>
        <w:numPr>
          <w:ilvl w:val="0"/>
          <w:numId w:val="2"/>
        </w:numPr>
        <w:spacing w:after="0" w:line="240" w:lineRule="auto"/>
        <w:rPr>
          <w:rFonts w:ascii="Oracle Sans" w:hAnsi="Oracle Sans"/>
        </w:rPr>
      </w:pPr>
      <w:r>
        <w:rPr>
          <w:rFonts w:ascii="Oracle Sans" w:hAnsi="Oracle Sans"/>
        </w:rPr>
        <w:t xml:space="preserve">Maggiori informazioni su </w:t>
      </w:r>
      <w:hyperlink r:id="rId18" w:anchor="lakehouse" w:history="1">
        <w:r>
          <w:rPr>
            <w:rStyle w:val="Collegamentoipertestuale"/>
            <w:rFonts w:ascii="Oracle Sans" w:hAnsi="Oracle Sans"/>
          </w:rPr>
          <w:t>MySQL HeatWave Lakehouse</w:t>
        </w:r>
      </w:hyperlink>
      <w:r>
        <w:rPr>
          <w:rFonts w:ascii="Oracle Sans" w:hAnsi="Oracle Sans"/>
        </w:rPr>
        <w:t xml:space="preserve"> su Amazon Web Services (AWS)</w:t>
      </w:r>
    </w:p>
    <w:p w14:paraId="6E21D0D0" w14:textId="77777777" w:rsidR="009B48C1" w:rsidRDefault="009B48C1" w:rsidP="00321373">
      <w:pPr>
        <w:spacing w:after="0" w:line="240" w:lineRule="auto"/>
        <w:ind w:left="720"/>
        <w:rPr>
          <w:rFonts w:ascii="Oracle Sans" w:hAnsi="Oracle Sans"/>
        </w:rPr>
      </w:pPr>
    </w:p>
    <w:p w14:paraId="2F766FB3" w14:textId="77777777" w:rsidR="009B48C1" w:rsidRPr="00DD49AA" w:rsidRDefault="009B48C1" w:rsidP="00321373">
      <w:pPr>
        <w:spacing w:after="0" w:line="240" w:lineRule="auto"/>
        <w:rPr>
          <w:rFonts w:ascii="Times New Roman" w:hAnsi="Times New Roman" w:cs="Times New Roman"/>
          <w:color w:val="000000"/>
        </w:rPr>
      </w:pPr>
    </w:p>
    <w:p w14:paraId="6DA7FD9E" w14:textId="77777777" w:rsidR="009B48C1" w:rsidRPr="00DD49AA" w:rsidRDefault="009B48C1" w:rsidP="00321373">
      <w:pPr>
        <w:ind w:right="300"/>
        <w:rPr>
          <w:rFonts w:ascii="Times New Roman" w:eastAsia="Times New Roman" w:hAnsi="Times New Roman" w:cs="Times New Roman"/>
          <w:color w:val="000000"/>
        </w:rPr>
      </w:pPr>
      <w:bookmarkStart w:id="2" w:name="_Hlk143853015"/>
      <w:r w:rsidRPr="00DD49AA">
        <w:rPr>
          <w:rFonts w:ascii="Times New Roman" w:eastAsia="Times New Roman" w:hAnsi="Times New Roman" w:cs="Times New Roman"/>
          <w:color w:val="000000"/>
        </w:rPr>
        <w:t>#</w:t>
      </w:r>
    </w:p>
    <w:bookmarkEnd w:id="2"/>
    <w:p w14:paraId="2C07404D" w14:textId="77777777" w:rsidR="002471A1" w:rsidRDefault="002471A1" w:rsidP="00321373">
      <w:r>
        <w:rPr>
          <w:rFonts w:ascii="Oracle Sans" w:hAnsi="Oracle Sans"/>
          <w:b/>
          <w:bCs/>
          <w:color w:val="000000"/>
          <w:sz w:val="20"/>
          <w:szCs w:val="20"/>
        </w:rPr>
        <w:t>Informazioni su Oracle</w:t>
      </w:r>
      <w:r>
        <w:rPr>
          <w:rFonts w:ascii="Oracle Sans" w:hAnsi="Oracle Sans"/>
          <w:b/>
          <w:bCs/>
          <w:color w:val="000000"/>
          <w:sz w:val="20"/>
          <w:szCs w:val="20"/>
        </w:rPr>
        <w:br/>
      </w:r>
      <w:proofErr w:type="spellStart"/>
      <w:r>
        <w:rPr>
          <w:rFonts w:ascii="Oracle Sans" w:hAnsi="Oracle Sans"/>
          <w:sz w:val="20"/>
          <w:szCs w:val="20"/>
        </w:rPr>
        <w:t>Oracle</w:t>
      </w:r>
      <w:proofErr w:type="spellEnd"/>
      <w:r>
        <w:rPr>
          <w:rFonts w:ascii="Oracle Sans" w:hAnsi="Oracle Sans"/>
          <w:sz w:val="20"/>
          <w:szCs w:val="20"/>
        </w:rPr>
        <w:t xml:space="preserve"> offre suite di applicazioni integrate, oltre a un'infrastruttura sicura e autonoma, in Oracle Cloud. Per ulteriori informazioni su Oracle (NYSE: ORCL), visita il nostro sito </w:t>
      </w:r>
      <w:hyperlink r:id="rId19" w:tooltip="https://urldefense.com/v3/__https:/c212.net/c/link/?t=0&amp;l=en&amp;o=2364723-1&amp;h=817165358&amp;u=http*3A*2F*2Foracle.com*2F&amp;a=oracle.com__;JSUlJQ!!ACWV5N9M2RV99hQ!ONeZWrCLC0Z8XJ0ZSDgbMqbdGSRLbGdkbLU2xWR17M0WfGnMEQDjt-PBD8tUzd3gNaN4OAoUgL7ROgYSprkNJi36$" w:history="1">
        <w:r>
          <w:rPr>
            <w:rStyle w:val="Collegamentoipertestuale"/>
            <w:rFonts w:ascii="Oracle Sans" w:hAnsi="Oracle Sans"/>
            <w:sz w:val="20"/>
            <w:szCs w:val="20"/>
          </w:rPr>
          <w:t> </w:t>
        </w:r>
      </w:hyperlink>
      <w:hyperlink r:id="rId20" w:tooltip="https://urldefense.com/v3/__https:/c212.net/c/link/?t=0&amp;l=en&amp;o=2364723-1&amp;h=817165358&amp;u=http*3A*2F*2Foracle.com*2F&amp;a=oracle.com__;JSUlJQ!!ACWV5N9M2RV99hQ!ONeZWrCLC0Z8XJ0ZSDgbMqbdGSRLbGdkbLU2xWR17M0WfGnMEQDjt-PBD8tUzd3gNaN4OAoUgL7ROgYSprkNJi36$" w:history="1">
        <w:r>
          <w:rPr>
            <w:rStyle w:val="Collegamentoipertestuale"/>
            <w:rFonts w:ascii="Oracle Sans" w:hAnsi="Oracle Sans"/>
            <w:sz w:val="20"/>
            <w:szCs w:val="20"/>
          </w:rPr>
          <w:t>oracle.com</w:t>
        </w:r>
      </w:hyperlink>
      <w:r>
        <w:rPr>
          <w:rFonts w:ascii="Times New Roman" w:hAnsi="Times New Roman" w:cs="Times New Roman"/>
          <w:color w:val="000000"/>
          <w:sz w:val="20"/>
          <w:szCs w:val="20"/>
        </w:rPr>
        <w:t>.</w:t>
      </w:r>
    </w:p>
    <w:p w14:paraId="2D3A83D2" w14:textId="77777777" w:rsidR="002471A1" w:rsidRDefault="002471A1" w:rsidP="00321373">
      <w:r>
        <w:rPr>
          <w:rFonts w:ascii="Oracle Sans" w:hAnsi="Oracle Sans"/>
          <w:b/>
          <w:bCs/>
          <w:color w:val="000000"/>
          <w:sz w:val="20"/>
          <w:szCs w:val="20"/>
        </w:rPr>
        <w:t xml:space="preserve">Informazioni su Oracle </w:t>
      </w:r>
      <w:proofErr w:type="spellStart"/>
      <w:r>
        <w:rPr>
          <w:rFonts w:ascii="Oracle Sans" w:hAnsi="Oracle Sans"/>
          <w:b/>
          <w:bCs/>
          <w:color w:val="000000"/>
          <w:sz w:val="20"/>
          <w:szCs w:val="20"/>
        </w:rPr>
        <w:t>CloudWorld</w:t>
      </w:r>
      <w:proofErr w:type="spellEnd"/>
      <w:r>
        <w:rPr>
          <w:rFonts w:ascii="Times New Roman" w:hAnsi="Times New Roman" w:cs="Times New Roman"/>
          <w:b/>
          <w:bCs/>
          <w:color w:val="000000"/>
          <w:sz w:val="20"/>
          <w:szCs w:val="20"/>
        </w:rPr>
        <w:br/>
      </w:r>
      <w:r>
        <w:rPr>
          <w:rFonts w:ascii="Oracle Sans" w:hAnsi="Oracle Sans"/>
          <w:sz w:val="20"/>
          <w:szCs w:val="20"/>
        </w:rPr>
        <w:t xml:space="preserve">Oracle </w:t>
      </w:r>
      <w:proofErr w:type="spellStart"/>
      <w:r>
        <w:rPr>
          <w:rFonts w:ascii="Oracle Sans" w:hAnsi="Oracle Sans"/>
          <w:sz w:val="20"/>
          <w:szCs w:val="20"/>
        </w:rPr>
        <w:t>CloudWorld</w:t>
      </w:r>
      <w:proofErr w:type="spellEnd"/>
      <w:r>
        <w:rPr>
          <w:rFonts w:ascii="Oracle Sans" w:hAnsi="Oracle Sans"/>
          <w:sz w:val="20"/>
          <w:szCs w:val="20"/>
        </w:rPr>
        <w:t xml:space="preserve"> è il più grande evento globale dedicato a clienti e partner di Oracle, per conoscere gli insight utili per affrontare le sfide aziendali più complesse, sviluppare competenze, conoscenze e connessioni e scoprire di più </w:t>
      </w:r>
      <w:proofErr w:type="gramStart"/>
      <w:r>
        <w:rPr>
          <w:rFonts w:ascii="Oracle Sans" w:hAnsi="Oracle Sans"/>
          <w:sz w:val="20"/>
          <w:szCs w:val="20"/>
        </w:rPr>
        <w:t>sulla infrastrutture</w:t>
      </w:r>
      <w:proofErr w:type="gramEnd"/>
      <w:r>
        <w:rPr>
          <w:rFonts w:ascii="Oracle Sans" w:hAnsi="Oracle Sans"/>
          <w:sz w:val="20"/>
          <w:szCs w:val="20"/>
        </w:rPr>
        <w:t xml:space="preserve"> cloud di Oracle, su database, applicazioni e strumenti per gli sviluppatori, tra cui Java, direttamente dalle persone che le creano e le utilizzano. Per la registrazione, gli interventi dal vivo, i dettagli delle sessioni, le notizie e altro ancora:</w:t>
      </w:r>
      <w:r>
        <w:rPr>
          <w:rFonts w:ascii="Times New Roman" w:hAnsi="Times New Roman" w:cs="Times New Roman"/>
          <w:color w:val="000000"/>
          <w:sz w:val="20"/>
          <w:szCs w:val="20"/>
        </w:rPr>
        <w:t xml:space="preserve"> </w:t>
      </w:r>
      <w:hyperlink r:id="rId21" w:history="1">
        <w:r>
          <w:rPr>
            <w:rStyle w:val="Collegamentoipertestuale"/>
            <w:rFonts w:ascii="Times New Roman" w:hAnsi="Times New Roman" w:cs="Times New Roman"/>
            <w:b/>
            <w:bCs/>
            <w:sz w:val="20"/>
            <w:szCs w:val="20"/>
          </w:rPr>
          <w:t>https://www.oracle.com/cloudworld/</w:t>
        </w:r>
      </w:hyperlink>
      <w:r>
        <w:rPr>
          <w:rFonts w:ascii="Times New Roman" w:hAnsi="Times New Roman" w:cs="Times New Roman"/>
          <w:color w:val="000000"/>
          <w:sz w:val="20"/>
          <w:szCs w:val="20"/>
        </w:rPr>
        <w:t xml:space="preserve"> o </w:t>
      </w:r>
      <w:hyperlink r:id="rId22" w:history="1">
        <w:r>
          <w:rPr>
            <w:rStyle w:val="Collegamentoipertestuale"/>
            <w:rFonts w:ascii="Times New Roman" w:hAnsi="Times New Roman" w:cs="Times New Roman"/>
            <w:b/>
            <w:bCs/>
            <w:color w:val="0070C0"/>
            <w:sz w:val="20"/>
            <w:szCs w:val="20"/>
          </w:rPr>
          <w:t>https://www.oracle.com/news/</w:t>
        </w:r>
      </w:hyperlink>
      <w:r>
        <w:rPr>
          <w:rFonts w:ascii="Times New Roman" w:hAnsi="Times New Roman" w:cs="Times New Roman"/>
          <w:b/>
          <w:bCs/>
          <w:color w:val="0070C0"/>
          <w:sz w:val="20"/>
          <w:szCs w:val="20"/>
        </w:rPr>
        <w:t xml:space="preserve"> </w:t>
      </w:r>
    </w:p>
    <w:p w14:paraId="38DFCB75" w14:textId="77777777" w:rsidR="002471A1" w:rsidRDefault="002471A1" w:rsidP="00321373">
      <w:pPr>
        <w:spacing w:after="0"/>
      </w:pPr>
      <w:r>
        <w:rPr>
          <w:rFonts w:ascii="Oracle Sans" w:hAnsi="Oracle Sans"/>
          <w:b/>
          <w:bCs/>
          <w:color w:val="000000"/>
          <w:sz w:val="20"/>
          <w:szCs w:val="20"/>
        </w:rPr>
        <w:t>Dichiarazione di non responsabilità per futuri prodotti</w:t>
      </w:r>
    </w:p>
    <w:p w14:paraId="7C8D1BDF" w14:textId="77777777" w:rsidR="002471A1" w:rsidRDefault="002471A1" w:rsidP="00321373">
      <w:pPr>
        <w:spacing w:after="0"/>
      </w:pPr>
      <w:r>
        <w:rPr>
          <w:rFonts w:ascii="Oracle Sans" w:hAnsi="Oracle Sans"/>
          <w:sz w:val="20"/>
          <w:szCs w:val="20"/>
        </w:rPr>
        <w:t xml:space="preserve">Le informazioni [riportate sopra] hanno lo scopo di illustrare la nostra direzione per quanto riguarda i prodotti in modo generale. Hanno esclusivamente scopo informativo e non possono essere incorporate in alcun contratto. Non rappresentano alcun impegno a fornire materiale, codice o funzionalità e non dovrebbero essere utilizzate per prendere decisioni di acquisto. Lo sviluppo, il rilascio, le tempistiche e i prezzi di tutte le funzioni </w:t>
      </w:r>
      <w:r>
        <w:rPr>
          <w:rFonts w:ascii="Oracle Sans" w:hAnsi="Oracle Sans"/>
          <w:sz w:val="20"/>
          <w:szCs w:val="20"/>
        </w:rPr>
        <w:lastRenderedPageBreak/>
        <w:t>o funzionalità descritte per i prodotti Oracle possono cambiare e rimangono a esclusiva discrezione di Oracle Corporation.</w:t>
      </w:r>
    </w:p>
    <w:p w14:paraId="4C732815" w14:textId="77777777" w:rsidR="002471A1" w:rsidRDefault="002471A1" w:rsidP="00321373">
      <w:r>
        <w:rPr>
          <w:rFonts w:ascii="Oracle Sans" w:hAnsi="Oracle Sans"/>
          <w:color w:val="000000"/>
          <w:sz w:val="20"/>
          <w:szCs w:val="20"/>
        </w:rPr>
        <w:t> </w:t>
      </w:r>
    </w:p>
    <w:p w14:paraId="78D58105" w14:textId="77777777" w:rsidR="002471A1" w:rsidRDefault="002471A1" w:rsidP="00321373">
      <w:r>
        <w:rPr>
          <w:rFonts w:ascii="Oracle Sans" w:hAnsi="Oracle Sans"/>
          <w:b/>
          <w:bCs/>
          <w:color w:val="000000"/>
          <w:sz w:val="20"/>
          <w:szCs w:val="20"/>
        </w:rPr>
        <w:t>Dichiarazione di non responsabilità per le dichiarazioni previsionali</w:t>
      </w:r>
    </w:p>
    <w:p w14:paraId="395FEF7F" w14:textId="1BDD952C" w:rsidR="002471A1" w:rsidRDefault="002471A1" w:rsidP="00321373">
      <w:r>
        <w:rPr>
          <w:rFonts w:ascii="Oracle Sans" w:hAnsi="Oracle Sans"/>
          <w:sz w:val="20"/>
          <w:szCs w:val="20"/>
        </w:rPr>
        <w:t xml:space="preserve">Le affermazioni presenti in questo articolo relative ai piani futuri, alle aspettative, alle opinioni e alle intenzioni di Oracle sono dichiarazioni previsionali e sono pertanto soggette a rischi materiali e incertezze. Molti fattori potrebbero influenzare le aspettative attuali e i risultati effettivi di Oracle e potrebbero determinare sostanziali differenze nei risultati reali. Una discussione su questi fattori e altri rischi che influiscono sul business di Oracle è contenuta nella documentazione presentata da Oracle alla Securities and Exchange Commission (SEC), inclusi i report più recenti di Oracle sul Form 10-K e sul Form 10-Q nella sezione "Fattori di rischio". Questi documenti sono disponibili sul sito Web della SEC o quello di Oracle all'indirizzo </w:t>
      </w:r>
      <w:hyperlink r:id="rId23" w:history="1">
        <w:r>
          <w:rPr>
            <w:rStyle w:val="Collegamentoipertestuale"/>
            <w:rFonts w:ascii="Oracle Sans" w:hAnsi="Oracle Sans"/>
            <w:sz w:val="20"/>
            <w:szCs w:val="20"/>
          </w:rPr>
          <w:t>http://www.oracle.com/investor.</w:t>
        </w:r>
      </w:hyperlink>
      <w:r>
        <w:rPr>
          <w:rFonts w:ascii="Oracle Sans" w:hAnsi="Oracle Sans"/>
          <w:sz w:val="20"/>
          <w:szCs w:val="20"/>
        </w:rPr>
        <w:t xml:space="preserve"> Tutte le informazioni presenti in questo articolo sono aggiornate al 19 settembre 2023 e Oracle non si assume l'obbligo di aggiornare le dichiarazioni fatte alla luce di nuove informazioni o di eventi futuri.</w:t>
      </w:r>
    </w:p>
    <w:p w14:paraId="3073AF82" w14:textId="77777777" w:rsidR="002471A1" w:rsidRDefault="002471A1" w:rsidP="00321373">
      <w:r>
        <w:rPr>
          <w:rFonts w:ascii="Oracle Sans" w:hAnsi="Oracle Sans"/>
          <w:sz w:val="20"/>
          <w:szCs w:val="20"/>
        </w:rPr>
        <w:t>###</w:t>
      </w:r>
    </w:p>
    <w:p w14:paraId="6120D5EE" w14:textId="1AEAC1EE" w:rsidR="002471A1" w:rsidRDefault="002471A1" w:rsidP="00321373">
      <w:r>
        <w:rPr>
          <w:rFonts w:ascii="Oracle Sans" w:hAnsi="Oracle Sans"/>
          <w:b/>
          <w:bCs/>
          <w:color w:val="000000"/>
          <w:sz w:val="20"/>
          <w:szCs w:val="20"/>
        </w:rPr>
        <w:t>Contatti per i media</w:t>
      </w:r>
      <w:r>
        <w:rPr>
          <w:rFonts w:ascii="Times New Roman" w:hAnsi="Times New Roman" w:cs="Times New Roman"/>
          <w:b/>
          <w:bCs/>
          <w:color w:val="000000"/>
          <w:sz w:val="20"/>
          <w:szCs w:val="20"/>
        </w:rPr>
        <w:br/>
      </w:r>
      <w:r>
        <w:rPr>
          <w:rFonts w:ascii="Oracle Sans" w:hAnsi="Oracle Sans"/>
          <w:sz w:val="20"/>
          <w:szCs w:val="20"/>
        </w:rPr>
        <w:t xml:space="preserve">Simona Menghini, ORACLE Italia: </w:t>
      </w:r>
      <w:proofErr w:type="spellStart"/>
      <w:r>
        <w:rPr>
          <w:rFonts w:ascii="Oracle Sans" w:hAnsi="Oracle Sans"/>
          <w:sz w:val="20"/>
          <w:szCs w:val="20"/>
        </w:rPr>
        <w:t>cell</w:t>
      </w:r>
      <w:proofErr w:type="spellEnd"/>
      <w:r>
        <w:rPr>
          <w:rFonts w:ascii="Oracle Sans" w:hAnsi="Oracle Sans"/>
          <w:sz w:val="20"/>
          <w:szCs w:val="20"/>
        </w:rPr>
        <w:t xml:space="preserve">. 342-6989617 </w:t>
      </w:r>
      <w:hyperlink r:id="rId24" w:tooltip="mailto:simona.menghini@oracle.com" w:history="1">
        <w:r>
          <w:rPr>
            <w:rStyle w:val="Collegamentoipertestuale"/>
            <w:rFonts w:ascii="Oracle Sans" w:hAnsi="Oracle Sans"/>
            <w:sz w:val="20"/>
            <w:szCs w:val="20"/>
          </w:rPr>
          <w:t>simona.menghini@oracle.com</w:t>
        </w:r>
      </w:hyperlink>
      <w:r>
        <w:br/>
      </w:r>
      <w:r>
        <w:rPr>
          <w:rFonts w:ascii="Oracle Sans" w:hAnsi="Oracle Sans"/>
          <w:sz w:val="20"/>
          <w:szCs w:val="20"/>
        </w:rPr>
        <w:t>Prima Pagina Comunicazione: Caterina Ferrara, Viviana Viviani, Ivonne Carpinelli - 0291339.811</w:t>
      </w:r>
      <w:r>
        <w:rPr>
          <w:rFonts w:ascii="Oracle Sans" w:hAnsi="Oracle Sans"/>
          <w:sz w:val="20"/>
          <w:szCs w:val="20"/>
        </w:rPr>
        <w:br/>
      </w:r>
      <w:hyperlink r:id="rId25" w:tooltip="mailto:team.oracle@primapagina.it" w:history="1">
        <w:r>
          <w:rPr>
            <w:rStyle w:val="Collegamentoipertestuale"/>
            <w:rFonts w:ascii="Oracle Sans" w:hAnsi="Oracle Sans"/>
            <w:sz w:val="20"/>
            <w:szCs w:val="20"/>
          </w:rPr>
          <w:t>team.oracle@primapagina.it</w:t>
        </w:r>
      </w:hyperlink>
    </w:p>
    <w:p w14:paraId="50D086F3" w14:textId="141C060F" w:rsidR="00333C68" w:rsidRDefault="00333C68" w:rsidP="00321373"/>
    <w:sectPr w:rsidR="00333C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1B1F" w14:textId="77777777" w:rsidR="006E693F" w:rsidRDefault="006E693F">
      <w:pPr>
        <w:spacing w:after="0" w:line="240" w:lineRule="auto"/>
      </w:pPr>
      <w:r>
        <w:separator/>
      </w:r>
    </w:p>
  </w:endnote>
  <w:endnote w:type="continuationSeparator" w:id="0">
    <w:p w14:paraId="69E25089" w14:textId="77777777" w:rsidR="006E693F" w:rsidRDefault="006E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1"/>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racle Sans">
    <w:altName w:val="Sylfaen"/>
    <w:charset w:val="00"/>
    <w:family w:val="swiss"/>
    <w:pitch w:val="variable"/>
    <w:sig w:usb0="A10006EF" w:usb1="400060FB"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EE0D" w14:textId="77777777" w:rsidR="006E693F" w:rsidRDefault="006E693F">
      <w:pPr>
        <w:spacing w:after="0" w:line="240" w:lineRule="auto"/>
      </w:pPr>
      <w:r>
        <w:separator/>
      </w:r>
    </w:p>
  </w:footnote>
  <w:footnote w:type="continuationSeparator" w:id="0">
    <w:p w14:paraId="1AE31570" w14:textId="77777777" w:rsidR="006E693F" w:rsidRDefault="006E6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F3E"/>
    <w:multiLevelType w:val="hybridMultilevel"/>
    <w:tmpl w:val="011E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A4F3F"/>
    <w:multiLevelType w:val="hybridMultilevel"/>
    <w:tmpl w:val="DAA8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275A9"/>
    <w:multiLevelType w:val="hybridMultilevel"/>
    <w:tmpl w:val="E8464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2C542E"/>
    <w:multiLevelType w:val="hybridMultilevel"/>
    <w:tmpl w:val="74204CA6"/>
    <w:lvl w:ilvl="0" w:tplc="DA568F0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4492A"/>
    <w:multiLevelType w:val="multilevel"/>
    <w:tmpl w:val="41FE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73FA3"/>
    <w:multiLevelType w:val="multilevel"/>
    <w:tmpl w:val="3C8A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FD6AC5"/>
    <w:multiLevelType w:val="multilevel"/>
    <w:tmpl w:val="C7ACC5C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15:restartNumberingAfterBreak="0">
    <w:nsid w:val="6E05029B"/>
    <w:multiLevelType w:val="hybridMultilevel"/>
    <w:tmpl w:val="3454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977756">
    <w:abstractNumId w:val="2"/>
  </w:num>
  <w:num w:numId="2" w16cid:durableId="2047872319">
    <w:abstractNumId w:val="4"/>
  </w:num>
  <w:num w:numId="3" w16cid:durableId="1231304034">
    <w:abstractNumId w:val="3"/>
  </w:num>
  <w:num w:numId="4" w16cid:durableId="816263175">
    <w:abstractNumId w:val="0"/>
  </w:num>
  <w:num w:numId="5" w16cid:durableId="1028412959">
    <w:abstractNumId w:val="1"/>
  </w:num>
  <w:num w:numId="6" w16cid:durableId="996999700">
    <w:abstractNumId w:val="7"/>
  </w:num>
  <w:num w:numId="7" w16cid:durableId="697856525">
    <w:abstractNumId w:val="6"/>
  </w:num>
  <w:num w:numId="8" w16cid:durableId="1206911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59"/>
    <w:rsid w:val="00004795"/>
    <w:rsid w:val="00013F9C"/>
    <w:rsid w:val="00016056"/>
    <w:rsid w:val="00023F89"/>
    <w:rsid w:val="00024737"/>
    <w:rsid w:val="00030871"/>
    <w:rsid w:val="000429BF"/>
    <w:rsid w:val="00044029"/>
    <w:rsid w:val="00044D30"/>
    <w:rsid w:val="000642F9"/>
    <w:rsid w:val="00066280"/>
    <w:rsid w:val="00071AF1"/>
    <w:rsid w:val="0007615A"/>
    <w:rsid w:val="00082BC9"/>
    <w:rsid w:val="00090257"/>
    <w:rsid w:val="00091625"/>
    <w:rsid w:val="000917B9"/>
    <w:rsid w:val="00096437"/>
    <w:rsid w:val="000A1C0A"/>
    <w:rsid w:val="000C3740"/>
    <w:rsid w:val="000C6432"/>
    <w:rsid w:val="000C66C3"/>
    <w:rsid w:val="000C70EE"/>
    <w:rsid w:val="000D1A86"/>
    <w:rsid w:val="000E0A03"/>
    <w:rsid w:val="000E2DFF"/>
    <w:rsid w:val="000F05D6"/>
    <w:rsid w:val="000F4DC2"/>
    <w:rsid w:val="000F6295"/>
    <w:rsid w:val="00101386"/>
    <w:rsid w:val="0010340E"/>
    <w:rsid w:val="0010480D"/>
    <w:rsid w:val="00107687"/>
    <w:rsid w:val="00111BBC"/>
    <w:rsid w:val="00116098"/>
    <w:rsid w:val="001249FA"/>
    <w:rsid w:val="00125ED7"/>
    <w:rsid w:val="00132022"/>
    <w:rsid w:val="0013427C"/>
    <w:rsid w:val="001355EA"/>
    <w:rsid w:val="00136796"/>
    <w:rsid w:val="0014503A"/>
    <w:rsid w:val="00146312"/>
    <w:rsid w:val="00151957"/>
    <w:rsid w:val="00154B37"/>
    <w:rsid w:val="0015579D"/>
    <w:rsid w:val="00161D31"/>
    <w:rsid w:val="00162037"/>
    <w:rsid w:val="00162BE5"/>
    <w:rsid w:val="00165367"/>
    <w:rsid w:val="00167E4B"/>
    <w:rsid w:val="00172921"/>
    <w:rsid w:val="00172BD5"/>
    <w:rsid w:val="001748CD"/>
    <w:rsid w:val="00174FC3"/>
    <w:rsid w:val="001765CE"/>
    <w:rsid w:val="001817CD"/>
    <w:rsid w:val="00182F4D"/>
    <w:rsid w:val="0018696A"/>
    <w:rsid w:val="001917E5"/>
    <w:rsid w:val="00194947"/>
    <w:rsid w:val="00196247"/>
    <w:rsid w:val="001A526D"/>
    <w:rsid w:val="001A53C2"/>
    <w:rsid w:val="001A6408"/>
    <w:rsid w:val="001C3330"/>
    <w:rsid w:val="001C3523"/>
    <w:rsid w:val="001C4D39"/>
    <w:rsid w:val="001C6AB8"/>
    <w:rsid w:val="001C6E48"/>
    <w:rsid w:val="001C731B"/>
    <w:rsid w:val="001C7894"/>
    <w:rsid w:val="001D2B0B"/>
    <w:rsid w:val="001D6996"/>
    <w:rsid w:val="001E1DC6"/>
    <w:rsid w:val="001E6889"/>
    <w:rsid w:val="001E7CD4"/>
    <w:rsid w:val="001F0E71"/>
    <w:rsid w:val="001F3C20"/>
    <w:rsid w:val="001F59DD"/>
    <w:rsid w:val="001F7E65"/>
    <w:rsid w:val="002214AA"/>
    <w:rsid w:val="00222835"/>
    <w:rsid w:val="00222A82"/>
    <w:rsid w:val="00223C25"/>
    <w:rsid w:val="00235C21"/>
    <w:rsid w:val="00236F4C"/>
    <w:rsid w:val="002471A1"/>
    <w:rsid w:val="00254F8D"/>
    <w:rsid w:val="00256990"/>
    <w:rsid w:val="002635FC"/>
    <w:rsid w:val="002674B2"/>
    <w:rsid w:val="00267F81"/>
    <w:rsid w:val="002727FD"/>
    <w:rsid w:val="002764C0"/>
    <w:rsid w:val="002827B4"/>
    <w:rsid w:val="00284F55"/>
    <w:rsid w:val="00285905"/>
    <w:rsid w:val="00286076"/>
    <w:rsid w:val="002A1ECD"/>
    <w:rsid w:val="002B0E13"/>
    <w:rsid w:val="002B43B5"/>
    <w:rsid w:val="002B6712"/>
    <w:rsid w:val="002C73F3"/>
    <w:rsid w:val="002C7A09"/>
    <w:rsid w:val="002D2F24"/>
    <w:rsid w:val="002D621C"/>
    <w:rsid w:val="002E4BA4"/>
    <w:rsid w:val="002E6AE5"/>
    <w:rsid w:val="002E788B"/>
    <w:rsid w:val="002E7C2B"/>
    <w:rsid w:val="003044FE"/>
    <w:rsid w:val="003053BB"/>
    <w:rsid w:val="00310249"/>
    <w:rsid w:val="003145FB"/>
    <w:rsid w:val="0031462C"/>
    <w:rsid w:val="00314CD2"/>
    <w:rsid w:val="00316AD3"/>
    <w:rsid w:val="00321373"/>
    <w:rsid w:val="00323EEE"/>
    <w:rsid w:val="00326EA1"/>
    <w:rsid w:val="00332364"/>
    <w:rsid w:val="00333C68"/>
    <w:rsid w:val="00345D18"/>
    <w:rsid w:val="003460C3"/>
    <w:rsid w:val="00370AC4"/>
    <w:rsid w:val="00370C23"/>
    <w:rsid w:val="0038091D"/>
    <w:rsid w:val="00381FF8"/>
    <w:rsid w:val="00390237"/>
    <w:rsid w:val="00395F2E"/>
    <w:rsid w:val="003976CD"/>
    <w:rsid w:val="00397A1F"/>
    <w:rsid w:val="003A1F14"/>
    <w:rsid w:val="003A1FDF"/>
    <w:rsid w:val="003A6081"/>
    <w:rsid w:val="003B0092"/>
    <w:rsid w:val="003B0192"/>
    <w:rsid w:val="003B3A50"/>
    <w:rsid w:val="003B7E1A"/>
    <w:rsid w:val="003D0101"/>
    <w:rsid w:val="003D1576"/>
    <w:rsid w:val="003D46BE"/>
    <w:rsid w:val="003E4FD0"/>
    <w:rsid w:val="003E7F2B"/>
    <w:rsid w:val="003F0962"/>
    <w:rsid w:val="003F58F1"/>
    <w:rsid w:val="003F59D0"/>
    <w:rsid w:val="003F6E49"/>
    <w:rsid w:val="00401D6E"/>
    <w:rsid w:val="0040247D"/>
    <w:rsid w:val="00402DC3"/>
    <w:rsid w:val="00404C17"/>
    <w:rsid w:val="00406E61"/>
    <w:rsid w:val="00410FB5"/>
    <w:rsid w:val="00414793"/>
    <w:rsid w:val="0042079C"/>
    <w:rsid w:val="004246AD"/>
    <w:rsid w:val="00434864"/>
    <w:rsid w:val="00440501"/>
    <w:rsid w:val="00443A74"/>
    <w:rsid w:val="00445EA9"/>
    <w:rsid w:val="00447D40"/>
    <w:rsid w:val="0045287B"/>
    <w:rsid w:val="004549CD"/>
    <w:rsid w:val="0046140B"/>
    <w:rsid w:val="00465DBF"/>
    <w:rsid w:val="0046632C"/>
    <w:rsid w:val="0047411B"/>
    <w:rsid w:val="0047673F"/>
    <w:rsid w:val="00481181"/>
    <w:rsid w:val="00482BD1"/>
    <w:rsid w:val="004833E2"/>
    <w:rsid w:val="00484CF0"/>
    <w:rsid w:val="00487614"/>
    <w:rsid w:val="00492E91"/>
    <w:rsid w:val="00494090"/>
    <w:rsid w:val="0049422D"/>
    <w:rsid w:val="00497C03"/>
    <w:rsid w:val="004A06F6"/>
    <w:rsid w:val="004A0C80"/>
    <w:rsid w:val="004A1F01"/>
    <w:rsid w:val="004A24B6"/>
    <w:rsid w:val="004A3269"/>
    <w:rsid w:val="004A7B48"/>
    <w:rsid w:val="004B4020"/>
    <w:rsid w:val="004B454A"/>
    <w:rsid w:val="004B607F"/>
    <w:rsid w:val="004B686F"/>
    <w:rsid w:val="004B7986"/>
    <w:rsid w:val="004D296B"/>
    <w:rsid w:val="004D406F"/>
    <w:rsid w:val="004D701E"/>
    <w:rsid w:val="004E204C"/>
    <w:rsid w:val="004E3473"/>
    <w:rsid w:val="004F44FC"/>
    <w:rsid w:val="004F4CBD"/>
    <w:rsid w:val="00500219"/>
    <w:rsid w:val="00503245"/>
    <w:rsid w:val="00512341"/>
    <w:rsid w:val="0052041D"/>
    <w:rsid w:val="00526D94"/>
    <w:rsid w:val="00532795"/>
    <w:rsid w:val="005331DD"/>
    <w:rsid w:val="00540CD1"/>
    <w:rsid w:val="0054128A"/>
    <w:rsid w:val="00542A2D"/>
    <w:rsid w:val="00545915"/>
    <w:rsid w:val="0054722C"/>
    <w:rsid w:val="005524AF"/>
    <w:rsid w:val="00552CF8"/>
    <w:rsid w:val="005603B6"/>
    <w:rsid w:val="00562A74"/>
    <w:rsid w:val="00563239"/>
    <w:rsid w:val="00571A83"/>
    <w:rsid w:val="00572259"/>
    <w:rsid w:val="00580E25"/>
    <w:rsid w:val="00584D89"/>
    <w:rsid w:val="00586A3B"/>
    <w:rsid w:val="00590DEC"/>
    <w:rsid w:val="005A4DF4"/>
    <w:rsid w:val="005A7756"/>
    <w:rsid w:val="005B0C95"/>
    <w:rsid w:val="005B2FBA"/>
    <w:rsid w:val="005B4AFE"/>
    <w:rsid w:val="005B5666"/>
    <w:rsid w:val="005C4AB8"/>
    <w:rsid w:val="005D60C3"/>
    <w:rsid w:val="005E05CD"/>
    <w:rsid w:val="005F3803"/>
    <w:rsid w:val="006011FE"/>
    <w:rsid w:val="00607836"/>
    <w:rsid w:val="00610275"/>
    <w:rsid w:val="00610918"/>
    <w:rsid w:val="00611167"/>
    <w:rsid w:val="006211F8"/>
    <w:rsid w:val="00621AFE"/>
    <w:rsid w:val="00630883"/>
    <w:rsid w:val="006310FA"/>
    <w:rsid w:val="0063767E"/>
    <w:rsid w:val="00640EEE"/>
    <w:rsid w:val="006416B4"/>
    <w:rsid w:val="0064181C"/>
    <w:rsid w:val="00644292"/>
    <w:rsid w:val="00645111"/>
    <w:rsid w:val="006470D7"/>
    <w:rsid w:val="00650E87"/>
    <w:rsid w:val="00652217"/>
    <w:rsid w:val="0067058F"/>
    <w:rsid w:val="00672C95"/>
    <w:rsid w:val="006737F5"/>
    <w:rsid w:val="00676545"/>
    <w:rsid w:val="006814ED"/>
    <w:rsid w:val="0068381B"/>
    <w:rsid w:val="00693C43"/>
    <w:rsid w:val="0069452E"/>
    <w:rsid w:val="006A10A7"/>
    <w:rsid w:val="006A5D4A"/>
    <w:rsid w:val="006A5DBC"/>
    <w:rsid w:val="006A6BB0"/>
    <w:rsid w:val="006B1BEC"/>
    <w:rsid w:val="006B22DC"/>
    <w:rsid w:val="006B2C92"/>
    <w:rsid w:val="006C0CD8"/>
    <w:rsid w:val="006C0D04"/>
    <w:rsid w:val="006C147B"/>
    <w:rsid w:val="006C732F"/>
    <w:rsid w:val="006C7C0A"/>
    <w:rsid w:val="006C7F99"/>
    <w:rsid w:val="006D3CC5"/>
    <w:rsid w:val="006D59D6"/>
    <w:rsid w:val="006E20A4"/>
    <w:rsid w:val="006E27FE"/>
    <w:rsid w:val="006E389D"/>
    <w:rsid w:val="006E5308"/>
    <w:rsid w:val="006E59D8"/>
    <w:rsid w:val="006E693F"/>
    <w:rsid w:val="006F62C1"/>
    <w:rsid w:val="0070194E"/>
    <w:rsid w:val="007055E0"/>
    <w:rsid w:val="00705612"/>
    <w:rsid w:val="00711ABA"/>
    <w:rsid w:val="007125FF"/>
    <w:rsid w:val="00717399"/>
    <w:rsid w:val="007201C9"/>
    <w:rsid w:val="007234C2"/>
    <w:rsid w:val="00723BA0"/>
    <w:rsid w:val="0073091B"/>
    <w:rsid w:val="00735578"/>
    <w:rsid w:val="0073569F"/>
    <w:rsid w:val="00742506"/>
    <w:rsid w:val="00752DDD"/>
    <w:rsid w:val="00753FB1"/>
    <w:rsid w:val="007547CB"/>
    <w:rsid w:val="00760FA0"/>
    <w:rsid w:val="007621EA"/>
    <w:rsid w:val="00773BAA"/>
    <w:rsid w:val="00774586"/>
    <w:rsid w:val="00780BBA"/>
    <w:rsid w:val="007821F4"/>
    <w:rsid w:val="007940D8"/>
    <w:rsid w:val="00794E21"/>
    <w:rsid w:val="0079782C"/>
    <w:rsid w:val="007A4378"/>
    <w:rsid w:val="007B49FD"/>
    <w:rsid w:val="007B62B6"/>
    <w:rsid w:val="007B76A7"/>
    <w:rsid w:val="007C59F7"/>
    <w:rsid w:val="007C7B23"/>
    <w:rsid w:val="007E17EE"/>
    <w:rsid w:val="007E5666"/>
    <w:rsid w:val="007F47AE"/>
    <w:rsid w:val="007F57C2"/>
    <w:rsid w:val="0080023D"/>
    <w:rsid w:val="008042C8"/>
    <w:rsid w:val="00804A4E"/>
    <w:rsid w:val="0080618E"/>
    <w:rsid w:val="00807770"/>
    <w:rsid w:val="008108C0"/>
    <w:rsid w:val="00817FD6"/>
    <w:rsid w:val="00826547"/>
    <w:rsid w:val="00831FC8"/>
    <w:rsid w:val="0083293E"/>
    <w:rsid w:val="008335D6"/>
    <w:rsid w:val="00833B86"/>
    <w:rsid w:val="00840536"/>
    <w:rsid w:val="00842B90"/>
    <w:rsid w:val="0084734E"/>
    <w:rsid w:val="0085091C"/>
    <w:rsid w:val="008537E7"/>
    <w:rsid w:val="00853AFD"/>
    <w:rsid w:val="00854E8B"/>
    <w:rsid w:val="00856E6B"/>
    <w:rsid w:val="00860377"/>
    <w:rsid w:val="008618DC"/>
    <w:rsid w:val="00864C76"/>
    <w:rsid w:val="008760D8"/>
    <w:rsid w:val="0088001F"/>
    <w:rsid w:val="00883C38"/>
    <w:rsid w:val="00886176"/>
    <w:rsid w:val="008914B9"/>
    <w:rsid w:val="00891894"/>
    <w:rsid w:val="008A15CD"/>
    <w:rsid w:val="008A3C4C"/>
    <w:rsid w:val="008B427A"/>
    <w:rsid w:val="008B4933"/>
    <w:rsid w:val="008B7517"/>
    <w:rsid w:val="008C1D62"/>
    <w:rsid w:val="008C445F"/>
    <w:rsid w:val="008C65BC"/>
    <w:rsid w:val="008C6EA9"/>
    <w:rsid w:val="008D264C"/>
    <w:rsid w:val="008D6BD9"/>
    <w:rsid w:val="008E211E"/>
    <w:rsid w:val="009003FC"/>
    <w:rsid w:val="00912FB4"/>
    <w:rsid w:val="00913947"/>
    <w:rsid w:val="00917292"/>
    <w:rsid w:val="00917756"/>
    <w:rsid w:val="00927621"/>
    <w:rsid w:val="0093373F"/>
    <w:rsid w:val="009355FB"/>
    <w:rsid w:val="00936E8D"/>
    <w:rsid w:val="009400A0"/>
    <w:rsid w:val="00942747"/>
    <w:rsid w:val="009445B7"/>
    <w:rsid w:val="0094758D"/>
    <w:rsid w:val="009475E0"/>
    <w:rsid w:val="00950213"/>
    <w:rsid w:val="00950453"/>
    <w:rsid w:val="00952E45"/>
    <w:rsid w:val="00955DAD"/>
    <w:rsid w:val="00962A86"/>
    <w:rsid w:val="00967134"/>
    <w:rsid w:val="00970BAC"/>
    <w:rsid w:val="00972799"/>
    <w:rsid w:val="00973C5B"/>
    <w:rsid w:val="00977D07"/>
    <w:rsid w:val="00983ACE"/>
    <w:rsid w:val="00984B3E"/>
    <w:rsid w:val="009938BC"/>
    <w:rsid w:val="00994612"/>
    <w:rsid w:val="00994FCD"/>
    <w:rsid w:val="00996D7A"/>
    <w:rsid w:val="00997CA9"/>
    <w:rsid w:val="009B48C1"/>
    <w:rsid w:val="009C05BD"/>
    <w:rsid w:val="009C23C5"/>
    <w:rsid w:val="009C2F7F"/>
    <w:rsid w:val="009C3578"/>
    <w:rsid w:val="009D093E"/>
    <w:rsid w:val="009D0BC7"/>
    <w:rsid w:val="009D15AA"/>
    <w:rsid w:val="009E0759"/>
    <w:rsid w:val="009E51A2"/>
    <w:rsid w:val="009E63A4"/>
    <w:rsid w:val="009E6AAA"/>
    <w:rsid w:val="009F245C"/>
    <w:rsid w:val="00A04E8E"/>
    <w:rsid w:val="00A13A9C"/>
    <w:rsid w:val="00A235F4"/>
    <w:rsid w:val="00A26E5F"/>
    <w:rsid w:val="00A273F9"/>
    <w:rsid w:val="00A3474B"/>
    <w:rsid w:val="00A357D8"/>
    <w:rsid w:val="00A37A66"/>
    <w:rsid w:val="00A43BB3"/>
    <w:rsid w:val="00A46A16"/>
    <w:rsid w:val="00A56FF7"/>
    <w:rsid w:val="00A649B3"/>
    <w:rsid w:val="00A65E67"/>
    <w:rsid w:val="00A7003A"/>
    <w:rsid w:val="00A70FFB"/>
    <w:rsid w:val="00A8515B"/>
    <w:rsid w:val="00A853D8"/>
    <w:rsid w:val="00A90C90"/>
    <w:rsid w:val="00A91212"/>
    <w:rsid w:val="00AA4E9F"/>
    <w:rsid w:val="00AB22A6"/>
    <w:rsid w:val="00AB304D"/>
    <w:rsid w:val="00AB38C3"/>
    <w:rsid w:val="00AB5C5D"/>
    <w:rsid w:val="00AC655E"/>
    <w:rsid w:val="00AC66C1"/>
    <w:rsid w:val="00AD3DD1"/>
    <w:rsid w:val="00AD4830"/>
    <w:rsid w:val="00AD5045"/>
    <w:rsid w:val="00AD5B4A"/>
    <w:rsid w:val="00AD6579"/>
    <w:rsid w:val="00AD72D5"/>
    <w:rsid w:val="00AE550C"/>
    <w:rsid w:val="00AE62EA"/>
    <w:rsid w:val="00AE6F87"/>
    <w:rsid w:val="00AF0766"/>
    <w:rsid w:val="00AF3717"/>
    <w:rsid w:val="00AF4FB1"/>
    <w:rsid w:val="00B015C7"/>
    <w:rsid w:val="00B052DF"/>
    <w:rsid w:val="00B07F13"/>
    <w:rsid w:val="00B11935"/>
    <w:rsid w:val="00B166CF"/>
    <w:rsid w:val="00B2082D"/>
    <w:rsid w:val="00B2382F"/>
    <w:rsid w:val="00B245D7"/>
    <w:rsid w:val="00B30246"/>
    <w:rsid w:val="00B30A7C"/>
    <w:rsid w:val="00B30D8C"/>
    <w:rsid w:val="00B32537"/>
    <w:rsid w:val="00B3343F"/>
    <w:rsid w:val="00B37308"/>
    <w:rsid w:val="00B461A6"/>
    <w:rsid w:val="00B46D55"/>
    <w:rsid w:val="00B60D9F"/>
    <w:rsid w:val="00B60DAF"/>
    <w:rsid w:val="00B70FDC"/>
    <w:rsid w:val="00B90614"/>
    <w:rsid w:val="00B91C49"/>
    <w:rsid w:val="00B92AE2"/>
    <w:rsid w:val="00B92B11"/>
    <w:rsid w:val="00B93F17"/>
    <w:rsid w:val="00BA1C2A"/>
    <w:rsid w:val="00BA614A"/>
    <w:rsid w:val="00BA7C0C"/>
    <w:rsid w:val="00BB1064"/>
    <w:rsid w:val="00BB3C30"/>
    <w:rsid w:val="00BB4ED3"/>
    <w:rsid w:val="00BB6CDC"/>
    <w:rsid w:val="00BB7705"/>
    <w:rsid w:val="00BC327D"/>
    <w:rsid w:val="00BE6667"/>
    <w:rsid w:val="00BE690B"/>
    <w:rsid w:val="00BF0CCF"/>
    <w:rsid w:val="00BF208F"/>
    <w:rsid w:val="00C03C89"/>
    <w:rsid w:val="00C0736B"/>
    <w:rsid w:val="00C14FC6"/>
    <w:rsid w:val="00C16429"/>
    <w:rsid w:val="00C16585"/>
    <w:rsid w:val="00C16B21"/>
    <w:rsid w:val="00C25993"/>
    <w:rsid w:val="00C2713C"/>
    <w:rsid w:val="00C27CD0"/>
    <w:rsid w:val="00C3431E"/>
    <w:rsid w:val="00C413DF"/>
    <w:rsid w:val="00C46846"/>
    <w:rsid w:val="00C51E6A"/>
    <w:rsid w:val="00C533BC"/>
    <w:rsid w:val="00C6048A"/>
    <w:rsid w:val="00C61AAC"/>
    <w:rsid w:val="00C62548"/>
    <w:rsid w:val="00C6577F"/>
    <w:rsid w:val="00C65FFA"/>
    <w:rsid w:val="00C70380"/>
    <w:rsid w:val="00C70E54"/>
    <w:rsid w:val="00C7176B"/>
    <w:rsid w:val="00C7234F"/>
    <w:rsid w:val="00C72F09"/>
    <w:rsid w:val="00C935CC"/>
    <w:rsid w:val="00C959E2"/>
    <w:rsid w:val="00CA0710"/>
    <w:rsid w:val="00CA0F0E"/>
    <w:rsid w:val="00CA310C"/>
    <w:rsid w:val="00CA3A5D"/>
    <w:rsid w:val="00CB0C9D"/>
    <w:rsid w:val="00CB7D64"/>
    <w:rsid w:val="00CB7F07"/>
    <w:rsid w:val="00CC13A8"/>
    <w:rsid w:val="00CC1CF0"/>
    <w:rsid w:val="00CD503B"/>
    <w:rsid w:val="00CD6FAC"/>
    <w:rsid w:val="00CD7E34"/>
    <w:rsid w:val="00CE307B"/>
    <w:rsid w:val="00CE379F"/>
    <w:rsid w:val="00CF0250"/>
    <w:rsid w:val="00D10DC0"/>
    <w:rsid w:val="00D136E9"/>
    <w:rsid w:val="00D14167"/>
    <w:rsid w:val="00D21C03"/>
    <w:rsid w:val="00D223AD"/>
    <w:rsid w:val="00D23633"/>
    <w:rsid w:val="00D2771A"/>
    <w:rsid w:val="00D30937"/>
    <w:rsid w:val="00D36D5A"/>
    <w:rsid w:val="00D372C6"/>
    <w:rsid w:val="00D45F33"/>
    <w:rsid w:val="00D50721"/>
    <w:rsid w:val="00D53E95"/>
    <w:rsid w:val="00D54C75"/>
    <w:rsid w:val="00D559AB"/>
    <w:rsid w:val="00D603C4"/>
    <w:rsid w:val="00D60CE4"/>
    <w:rsid w:val="00D70959"/>
    <w:rsid w:val="00D7365A"/>
    <w:rsid w:val="00D759CE"/>
    <w:rsid w:val="00D75FE7"/>
    <w:rsid w:val="00D80875"/>
    <w:rsid w:val="00D82097"/>
    <w:rsid w:val="00D83134"/>
    <w:rsid w:val="00D84C02"/>
    <w:rsid w:val="00D86525"/>
    <w:rsid w:val="00D86872"/>
    <w:rsid w:val="00D86A70"/>
    <w:rsid w:val="00D91820"/>
    <w:rsid w:val="00D92B94"/>
    <w:rsid w:val="00DA2B79"/>
    <w:rsid w:val="00DA6224"/>
    <w:rsid w:val="00DA6BCF"/>
    <w:rsid w:val="00DA6D06"/>
    <w:rsid w:val="00DB3184"/>
    <w:rsid w:val="00DB3310"/>
    <w:rsid w:val="00DB69AE"/>
    <w:rsid w:val="00DC5388"/>
    <w:rsid w:val="00DC6557"/>
    <w:rsid w:val="00DC668B"/>
    <w:rsid w:val="00DC6A28"/>
    <w:rsid w:val="00DC7459"/>
    <w:rsid w:val="00DC77F6"/>
    <w:rsid w:val="00DD1DB0"/>
    <w:rsid w:val="00DD6154"/>
    <w:rsid w:val="00DE5D9F"/>
    <w:rsid w:val="00DE71BE"/>
    <w:rsid w:val="00DF7C48"/>
    <w:rsid w:val="00E003FC"/>
    <w:rsid w:val="00E01618"/>
    <w:rsid w:val="00E03D10"/>
    <w:rsid w:val="00E05E57"/>
    <w:rsid w:val="00E076BB"/>
    <w:rsid w:val="00E15160"/>
    <w:rsid w:val="00E163CE"/>
    <w:rsid w:val="00E17AD0"/>
    <w:rsid w:val="00E17F7D"/>
    <w:rsid w:val="00E20490"/>
    <w:rsid w:val="00E249CE"/>
    <w:rsid w:val="00E25FA6"/>
    <w:rsid w:val="00E33417"/>
    <w:rsid w:val="00E361B2"/>
    <w:rsid w:val="00E42A35"/>
    <w:rsid w:val="00E432F0"/>
    <w:rsid w:val="00E50BB4"/>
    <w:rsid w:val="00E52FAD"/>
    <w:rsid w:val="00E6126B"/>
    <w:rsid w:val="00E61560"/>
    <w:rsid w:val="00E623D2"/>
    <w:rsid w:val="00E6580A"/>
    <w:rsid w:val="00E67DE0"/>
    <w:rsid w:val="00E67FF7"/>
    <w:rsid w:val="00E72644"/>
    <w:rsid w:val="00E72AD3"/>
    <w:rsid w:val="00E7525B"/>
    <w:rsid w:val="00E83AEE"/>
    <w:rsid w:val="00E85DA3"/>
    <w:rsid w:val="00E97821"/>
    <w:rsid w:val="00EA4A49"/>
    <w:rsid w:val="00EB7B23"/>
    <w:rsid w:val="00EC236D"/>
    <w:rsid w:val="00ED033E"/>
    <w:rsid w:val="00ED3A90"/>
    <w:rsid w:val="00EE282F"/>
    <w:rsid w:val="00EE5033"/>
    <w:rsid w:val="00EE609F"/>
    <w:rsid w:val="00EF557E"/>
    <w:rsid w:val="00F02246"/>
    <w:rsid w:val="00F138A7"/>
    <w:rsid w:val="00F144D8"/>
    <w:rsid w:val="00F149E1"/>
    <w:rsid w:val="00F16B8C"/>
    <w:rsid w:val="00F21EA0"/>
    <w:rsid w:val="00F237C0"/>
    <w:rsid w:val="00F32CFF"/>
    <w:rsid w:val="00F335D3"/>
    <w:rsid w:val="00F41080"/>
    <w:rsid w:val="00F414F2"/>
    <w:rsid w:val="00F42648"/>
    <w:rsid w:val="00F4269B"/>
    <w:rsid w:val="00F4467E"/>
    <w:rsid w:val="00F509CF"/>
    <w:rsid w:val="00F53262"/>
    <w:rsid w:val="00F5760E"/>
    <w:rsid w:val="00F64422"/>
    <w:rsid w:val="00F6570A"/>
    <w:rsid w:val="00F67428"/>
    <w:rsid w:val="00F74DD8"/>
    <w:rsid w:val="00F811D2"/>
    <w:rsid w:val="00F85BD9"/>
    <w:rsid w:val="00F93F3C"/>
    <w:rsid w:val="00F9623F"/>
    <w:rsid w:val="00F96254"/>
    <w:rsid w:val="00FA3B2E"/>
    <w:rsid w:val="00FA48D7"/>
    <w:rsid w:val="00FA4C5A"/>
    <w:rsid w:val="00FA7C1C"/>
    <w:rsid w:val="00FB0A29"/>
    <w:rsid w:val="00FC3A17"/>
    <w:rsid w:val="00FC46D8"/>
    <w:rsid w:val="00FC6A4E"/>
    <w:rsid w:val="00FD1D03"/>
    <w:rsid w:val="00FD2A1B"/>
    <w:rsid w:val="00FD7BE9"/>
    <w:rsid w:val="00FE1E8B"/>
    <w:rsid w:val="00FF03DE"/>
    <w:rsid w:val="00FF06B8"/>
    <w:rsid w:val="00FF238F"/>
    <w:rsid w:val="00FF3579"/>
    <w:rsid w:val="1DE12941"/>
    <w:rsid w:val="765C4C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5802"/>
  <w15:docId w15:val="{BF7C0D40-2F28-441E-BD12-A8B65D19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0C66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next w:val="Normale"/>
    <w:link w:val="Titolo4Carattere"/>
    <w:uiPriority w:val="9"/>
    <w:unhideWhenUsed/>
    <w:qFormat/>
    <w:rsid w:val="004A06F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Titolo5">
    <w:name w:val="heading 5"/>
    <w:basedOn w:val="Normale"/>
    <w:link w:val="Titolo5Carattere"/>
    <w:uiPriority w:val="9"/>
    <w:unhideWhenUsed/>
    <w:qFormat/>
    <w:rsid w:val="00C61AAC"/>
    <w:pPr>
      <w:spacing w:after="144" w:line="267" w:lineRule="atLeast"/>
      <w:outlineLvl w:val="4"/>
    </w:pPr>
    <w:rPr>
      <w:rFonts w:ascii="Times New Roman" w:hAnsi="Times New Roman" w:cs="Times New Roman"/>
      <w:b/>
      <w:bCs/>
      <w:sz w:val="53"/>
      <w:szCs w:val="5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7F1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B07F13"/>
  </w:style>
  <w:style w:type="paragraph" w:styleId="Pidipagina">
    <w:name w:val="footer"/>
    <w:basedOn w:val="Normale"/>
    <w:link w:val="PidipaginaCarattere"/>
    <w:uiPriority w:val="99"/>
    <w:unhideWhenUsed/>
    <w:rsid w:val="00B07F13"/>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B07F13"/>
  </w:style>
  <w:style w:type="character" w:styleId="Collegamentoipertestuale">
    <w:name w:val="Hyperlink"/>
    <w:aliases w:val="Hyperlink Whizpr"/>
    <w:uiPriority w:val="99"/>
    <w:unhideWhenUsed/>
    <w:qFormat/>
    <w:rsid w:val="00A37A66"/>
    <w:rPr>
      <w:color w:val="0000FF"/>
      <w:u w:val="single"/>
    </w:rPr>
  </w:style>
  <w:style w:type="paragraph" w:customStyle="1" w:styleId="pressBody">
    <w:name w:val="pressBody"/>
    <w:basedOn w:val="Normale"/>
    <w:uiPriority w:val="99"/>
    <w:rsid w:val="00A37A66"/>
    <w:pPr>
      <w:spacing w:after="0"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A37A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7A66"/>
    <w:rPr>
      <w:rFonts w:ascii="Tahoma" w:hAnsi="Tahoma" w:cs="Tahoma"/>
      <w:sz w:val="16"/>
      <w:szCs w:val="16"/>
    </w:rPr>
  </w:style>
  <w:style w:type="character" w:customStyle="1" w:styleId="Titolo5Carattere">
    <w:name w:val="Titolo 5 Carattere"/>
    <w:basedOn w:val="Carpredefinitoparagrafo"/>
    <w:link w:val="Titolo5"/>
    <w:uiPriority w:val="9"/>
    <w:rsid w:val="00C61AAC"/>
    <w:rPr>
      <w:rFonts w:ascii="Times New Roman" w:hAnsi="Times New Roman" w:cs="Times New Roman"/>
      <w:b/>
      <w:bCs/>
      <w:sz w:val="53"/>
      <w:szCs w:val="53"/>
    </w:rPr>
  </w:style>
  <w:style w:type="paragraph" w:styleId="NormaleWeb">
    <w:name w:val="Normal (Web)"/>
    <w:basedOn w:val="Normale"/>
    <w:uiPriority w:val="99"/>
    <w:unhideWhenUsed/>
    <w:rsid w:val="00C61AAC"/>
    <w:pPr>
      <w:spacing w:after="384" w:line="240" w:lineRule="auto"/>
    </w:pPr>
    <w:rPr>
      <w:rFonts w:ascii="Times New Roman" w:hAnsi="Times New Roman" w:cs="Times New Roman"/>
      <w:color w:val="404040"/>
      <w:sz w:val="24"/>
      <w:szCs w:val="24"/>
    </w:rPr>
  </w:style>
  <w:style w:type="character" w:customStyle="1" w:styleId="cmps-end">
    <w:name w:val="cmps-end"/>
    <w:basedOn w:val="Carpredefinitoparagrafo"/>
    <w:rsid w:val="00C61AAC"/>
    <w:rPr>
      <w:shd w:val="clear" w:color="auto" w:fill="FF0000"/>
    </w:rPr>
  </w:style>
  <w:style w:type="paragraph" w:styleId="Testonormale">
    <w:name w:val="Plain Text"/>
    <w:basedOn w:val="Normale"/>
    <w:link w:val="TestonormaleCarattere"/>
    <w:uiPriority w:val="99"/>
    <w:unhideWhenUsed/>
    <w:rsid w:val="00B052DF"/>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B052DF"/>
    <w:rPr>
      <w:rFonts w:ascii="Consolas" w:hAnsi="Consolas"/>
      <w:sz w:val="21"/>
      <w:szCs w:val="21"/>
    </w:rPr>
  </w:style>
  <w:style w:type="paragraph" w:customStyle="1" w:styleId="pressheading1">
    <w:name w:val="pressheading1"/>
    <w:basedOn w:val="Normale"/>
    <w:rsid w:val="00F237C0"/>
    <w:pPr>
      <w:spacing w:before="100" w:beforeAutospacing="1" w:after="100" w:afterAutospacing="1" w:line="240" w:lineRule="auto"/>
    </w:pPr>
    <w:rPr>
      <w:rFonts w:ascii="Times New Roman" w:hAnsi="Times New Roman" w:cs="Times New Roman"/>
      <w:sz w:val="24"/>
      <w:szCs w:val="24"/>
    </w:rPr>
  </w:style>
  <w:style w:type="character" w:customStyle="1" w:styleId="Titolo4Carattere">
    <w:name w:val="Titolo 4 Carattere"/>
    <w:basedOn w:val="Carpredefinitoparagrafo"/>
    <w:link w:val="Titolo4"/>
    <w:uiPriority w:val="9"/>
    <w:rsid w:val="004A06F6"/>
    <w:rPr>
      <w:rFonts w:asciiTheme="majorHAnsi" w:eastAsiaTheme="majorEastAsia" w:hAnsiTheme="majorHAnsi" w:cstheme="majorBidi"/>
      <w:b/>
      <w:bCs/>
      <w:i/>
      <w:iCs/>
      <w:color w:val="4F81BD" w:themeColor="accent1"/>
      <w:sz w:val="24"/>
      <w:szCs w:val="24"/>
    </w:rPr>
  </w:style>
  <w:style w:type="character" w:styleId="Collegamentovisitato">
    <w:name w:val="FollowedHyperlink"/>
    <w:basedOn w:val="Carpredefinitoparagrafo"/>
    <w:uiPriority w:val="99"/>
    <w:semiHidden/>
    <w:unhideWhenUsed/>
    <w:rsid w:val="00952E45"/>
    <w:rPr>
      <w:color w:val="800080" w:themeColor="followedHyperlink"/>
      <w:u w:val="single"/>
    </w:rPr>
  </w:style>
  <w:style w:type="character" w:styleId="Rimandocommento">
    <w:name w:val="annotation reference"/>
    <w:basedOn w:val="Carpredefinitoparagrafo"/>
    <w:uiPriority w:val="99"/>
    <w:semiHidden/>
    <w:unhideWhenUsed/>
    <w:rsid w:val="0088001F"/>
    <w:rPr>
      <w:sz w:val="16"/>
      <w:szCs w:val="16"/>
    </w:rPr>
  </w:style>
  <w:style w:type="paragraph" w:styleId="Testocommento">
    <w:name w:val="annotation text"/>
    <w:basedOn w:val="Normale"/>
    <w:link w:val="TestocommentoCarattere"/>
    <w:uiPriority w:val="99"/>
    <w:unhideWhenUsed/>
    <w:rsid w:val="0088001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8001F"/>
    <w:rPr>
      <w:sz w:val="20"/>
      <w:szCs w:val="20"/>
    </w:rPr>
  </w:style>
  <w:style w:type="paragraph" w:styleId="Soggettocommento">
    <w:name w:val="annotation subject"/>
    <w:basedOn w:val="Testocommento"/>
    <w:next w:val="Testocommento"/>
    <w:link w:val="SoggettocommentoCarattere"/>
    <w:uiPriority w:val="99"/>
    <w:semiHidden/>
    <w:unhideWhenUsed/>
    <w:rsid w:val="0088001F"/>
    <w:rPr>
      <w:b/>
      <w:bCs/>
    </w:rPr>
  </w:style>
  <w:style w:type="character" w:customStyle="1" w:styleId="SoggettocommentoCarattere">
    <w:name w:val="Soggetto commento Carattere"/>
    <w:basedOn w:val="TestocommentoCarattere"/>
    <w:link w:val="Soggettocommento"/>
    <w:uiPriority w:val="99"/>
    <w:semiHidden/>
    <w:rsid w:val="0088001F"/>
    <w:rPr>
      <w:b/>
      <w:bCs/>
      <w:sz w:val="20"/>
      <w:szCs w:val="20"/>
    </w:rPr>
  </w:style>
  <w:style w:type="character" w:customStyle="1" w:styleId="apple-converted-space">
    <w:name w:val="apple-converted-space"/>
    <w:basedOn w:val="Carpredefinitoparagrafo"/>
    <w:rsid w:val="00096437"/>
  </w:style>
  <w:style w:type="character" w:customStyle="1" w:styleId="UnresolvedMention1">
    <w:name w:val="Unresolved Mention1"/>
    <w:basedOn w:val="Carpredefinitoparagrafo"/>
    <w:uiPriority w:val="99"/>
    <w:semiHidden/>
    <w:unhideWhenUsed/>
    <w:rsid w:val="000C6432"/>
    <w:rPr>
      <w:color w:val="605E5C"/>
      <w:shd w:val="clear" w:color="auto" w:fill="E1DFDD"/>
    </w:rPr>
  </w:style>
  <w:style w:type="character" w:customStyle="1" w:styleId="Titolo2Carattere">
    <w:name w:val="Titolo 2 Carattere"/>
    <w:basedOn w:val="Carpredefinitoparagrafo"/>
    <w:link w:val="Titolo2"/>
    <w:uiPriority w:val="9"/>
    <w:semiHidden/>
    <w:rsid w:val="000C66C3"/>
    <w:rPr>
      <w:rFonts w:asciiTheme="majorHAnsi" w:eastAsiaTheme="majorEastAsia" w:hAnsiTheme="majorHAnsi" w:cstheme="majorBidi"/>
      <w:color w:val="365F91" w:themeColor="accent1" w:themeShade="BF"/>
      <w:sz w:val="26"/>
      <w:szCs w:val="26"/>
    </w:rPr>
  </w:style>
  <w:style w:type="paragraph" w:styleId="Revisione">
    <w:name w:val="Revision"/>
    <w:hidden/>
    <w:uiPriority w:val="99"/>
    <w:semiHidden/>
    <w:rsid w:val="0015579D"/>
    <w:pPr>
      <w:spacing w:after="0" w:line="240" w:lineRule="auto"/>
    </w:pPr>
  </w:style>
  <w:style w:type="character" w:customStyle="1" w:styleId="UnresolvedMention2">
    <w:name w:val="Unresolved Mention2"/>
    <w:basedOn w:val="Carpredefinitoparagrafo"/>
    <w:uiPriority w:val="99"/>
    <w:semiHidden/>
    <w:unhideWhenUsed/>
    <w:rsid w:val="00DD1DB0"/>
    <w:rPr>
      <w:color w:val="605E5C"/>
      <w:shd w:val="clear" w:color="auto" w:fill="E1DFDD"/>
    </w:rPr>
  </w:style>
  <w:style w:type="paragraph" w:styleId="Paragrafoelenco">
    <w:name w:val="List Paragraph"/>
    <w:basedOn w:val="Normale"/>
    <w:uiPriority w:val="34"/>
    <w:qFormat/>
    <w:rsid w:val="00B166CF"/>
    <w:pPr>
      <w:spacing w:after="0" w:line="240" w:lineRule="auto"/>
      <w:ind w:left="720"/>
      <w:contextualSpacing/>
    </w:pPr>
    <w:rPr>
      <w:rFonts w:eastAsiaTheme="minorHAnsi"/>
      <w:kern w:val="2"/>
      <w:sz w:val="24"/>
      <w:szCs w:val="24"/>
      <w14:ligatures w14:val="standardContextual"/>
    </w:rPr>
  </w:style>
  <w:style w:type="character" w:styleId="Enfasigrassetto">
    <w:name w:val="Strong"/>
    <w:basedOn w:val="Carpredefinitoparagrafo"/>
    <w:uiPriority w:val="22"/>
    <w:qFormat/>
    <w:rsid w:val="00285905"/>
    <w:rPr>
      <w:b/>
      <w:bCs/>
    </w:rPr>
  </w:style>
  <w:style w:type="character" w:styleId="Enfasicorsivo">
    <w:name w:val="Emphasis"/>
    <w:basedOn w:val="Carpredefinitoparagrafo"/>
    <w:uiPriority w:val="20"/>
    <w:qFormat/>
    <w:rsid w:val="00774586"/>
    <w:rPr>
      <w:i/>
      <w:iCs/>
    </w:rPr>
  </w:style>
  <w:style w:type="character" w:styleId="Menzionenonrisolta">
    <w:name w:val="Unresolved Mention"/>
    <w:basedOn w:val="Carpredefinitoparagrafo"/>
    <w:uiPriority w:val="99"/>
    <w:semiHidden/>
    <w:unhideWhenUsed/>
    <w:rsid w:val="005603B6"/>
    <w:rPr>
      <w:color w:val="605E5C"/>
      <w:shd w:val="clear" w:color="auto" w:fill="E1DFDD"/>
    </w:rPr>
  </w:style>
  <w:style w:type="paragraph" w:customStyle="1" w:styleId="LO-normal">
    <w:name w:val="LO-normal"/>
    <w:qFormat/>
    <w:rsid w:val="00723BA0"/>
    <w:pPr>
      <w:suppressAutoHyphens/>
    </w:pPr>
    <w:rPr>
      <w:rFonts w:ascii="Calibri" w:eastAsia="Calibri" w:hAnsi="Calibri" w:cs="Calibri"/>
    </w:rPr>
  </w:style>
  <w:style w:type="paragraph" w:customStyle="1" w:styleId="lo-normal0">
    <w:name w:val="lo-normal0"/>
    <w:basedOn w:val="Normale"/>
    <w:rsid w:val="00332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B1DB1-pressheading11">
    <w:name w:val="P68B1DB1-pressheading11"/>
    <w:basedOn w:val="pressheading1"/>
    <w:rPr>
      <w:rFonts w:ascii="Oracle Sans" w:hAnsi="Oracle Sans" w:cs="Arial"/>
      <w:b/>
      <w:sz w:val="22"/>
    </w:rPr>
  </w:style>
  <w:style w:type="paragraph" w:customStyle="1" w:styleId="P68B1DB1-pressheading12">
    <w:name w:val="P68B1DB1-pressheading12"/>
    <w:basedOn w:val="pressheading1"/>
    <w:rPr>
      <w:rFonts w:ascii="Oracle Sans" w:hAnsi="Oracle Sans" w:cs="Arial"/>
    </w:rPr>
  </w:style>
  <w:style w:type="paragraph" w:customStyle="1" w:styleId="P68B1DB1-Normal3">
    <w:name w:val="P68B1DB1-Normal3"/>
    <w:basedOn w:val="Normale"/>
    <w:rPr>
      <w:rFonts w:ascii="Oracle Sans" w:hAnsi="Oracle Sans" w:cs="Arial"/>
    </w:rPr>
  </w:style>
  <w:style w:type="paragraph" w:customStyle="1" w:styleId="P68B1DB1-Normal4">
    <w:name w:val="P68B1DB1-Normal4"/>
    <w:basedOn w:val="Normale"/>
    <w:rPr>
      <w:rFonts w:ascii="Oracle Sans" w:eastAsia="Times New Roman" w:hAnsi="Oracle Sans" w:cs="Calibri"/>
      <w:b/>
      <w:color w:val="000000" w:themeColor="text1"/>
    </w:rPr>
  </w:style>
  <w:style w:type="paragraph" w:customStyle="1" w:styleId="P68B1DB1-Normal5">
    <w:name w:val="P68B1DB1-Normal5"/>
    <w:basedOn w:val="Normale"/>
    <w:rPr>
      <w:color w:val="000000"/>
    </w:rPr>
  </w:style>
  <w:style w:type="paragraph" w:customStyle="1" w:styleId="P68B1DB1-Normal6">
    <w:name w:val="P68B1DB1-Normal6"/>
    <w:basedOn w:val="Normale"/>
    <w:rPr>
      <w:rFonts w:ascii="Oracle Sans" w:hAnsi="Oracle Sans" w:cs="Arial"/>
      <w:b/>
      <w:color w:val="000000"/>
    </w:rPr>
  </w:style>
  <w:style w:type="paragraph" w:customStyle="1" w:styleId="P68B1DB1-Normal7">
    <w:name w:val="P68B1DB1-Normal7"/>
    <w:basedOn w:val="Normale"/>
    <w:rPr>
      <w:rFonts w:ascii="Oracle Sans" w:hAnsi="Oracle Sans" w:cs="Arial"/>
      <w:color w:val="000000"/>
    </w:rPr>
  </w:style>
  <w:style w:type="paragraph" w:customStyle="1" w:styleId="P68B1DB1-NormalWeb8">
    <w:name w:val="P68B1DB1-NormalWeb8"/>
    <w:basedOn w:val="NormaleWeb"/>
    <w:rPr>
      <w:rFonts w:ascii="Oracle Sans" w:hAnsi="Oracle Sans" w:cs="Arial"/>
      <w:b/>
      <w:color w:val="auto"/>
      <w:sz w:val="22"/>
    </w:rPr>
  </w:style>
  <w:style w:type="paragraph" w:customStyle="1" w:styleId="P68B1DB1-Normal9">
    <w:name w:val="P68B1DB1-Normal9"/>
    <w:basedOn w:val="Normale"/>
    <w:rPr>
      <w:rFonts w:ascii="Oracle Sans" w:eastAsia="Times New Roman" w:hAnsi="Oracle Sans" w:cs="Times New Roman"/>
    </w:rPr>
  </w:style>
  <w:style w:type="paragraph" w:customStyle="1" w:styleId="P68B1DB1-lo-normal010">
    <w:name w:val="P68B1DB1-lo-normal010"/>
    <w:basedOn w:val="lo-normal0"/>
    <w:rPr>
      <w:rFonts w:ascii="Oracle Sans" w:hAnsi="Oracle Sans" w:cs="Calibri"/>
      <w:b/>
      <w:color w:val="212121"/>
      <w:sz w:val="22"/>
    </w:rPr>
  </w:style>
  <w:style w:type="paragraph" w:customStyle="1" w:styleId="P68B1DB1-lo-normal011">
    <w:name w:val="P68B1DB1-lo-normal011"/>
    <w:basedOn w:val="lo-normal0"/>
    <w:rPr>
      <w:rFonts w:ascii="Oracle Sans" w:hAnsi="Oracle Sans" w:cs="Calibri"/>
      <w:color w:val="000000" w:themeColor="text1"/>
      <w:sz w:val="22"/>
    </w:rPr>
  </w:style>
  <w:style w:type="paragraph" w:customStyle="1" w:styleId="P68B1DB1-ListParagraph12">
    <w:name w:val="P68B1DB1-ListParagraph12"/>
    <w:basedOn w:val="Paragrafoelenco"/>
    <w:rPr>
      <w:rFonts w:ascii="Oracle Sans" w:hAnsi="Oracle Sans" w:cs="Calibri"/>
      <w:color w:val="000000" w:themeColor="text1"/>
      <w:sz w:val="22"/>
    </w:rPr>
  </w:style>
  <w:style w:type="paragraph" w:customStyle="1" w:styleId="P68B1DB1-ListParagraph13">
    <w:name w:val="P68B1DB1-ListParagraph13"/>
    <w:basedOn w:val="Paragrafoelenco"/>
    <w:rPr>
      <w:color w:val="000000" w:themeColor="text1"/>
      <w:sz w:val="22"/>
    </w:rPr>
  </w:style>
  <w:style w:type="paragraph" w:customStyle="1" w:styleId="P68B1DB1-Normal14">
    <w:name w:val="P68B1DB1-Normal14"/>
    <w:basedOn w:val="Normale"/>
    <w:rPr>
      <w:rFonts w:ascii="Oracle Sans" w:eastAsia="Times New Roman" w:hAnsi="Oracle Sans" w:cs="Arial"/>
      <w:b/>
      <w:color w:val="000000"/>
    </w:rPr>
  </w:style>
  <w:style w:type="paragraph" w:customStyle="1" w:styleId="P68B1DB1-Normal15">
    <w:name w:val="P68B1DB1-Normal15"/>
    <w:basedOn w:val="Normale"/>
    <w:rPr>
      <w:rFonts w:ascii="Oracle Sans" w:hAnsi="Oracle Sans"/>
    </w:rPr>
  </w:style>
  <w:style w:type="paragraph" w:customStyle="1" w:styleId="P68B1DB1-Heading516">
    <w:name w:val="P68B1DB1-Heading516"/>
    <w:basedOn w:val="Titolo5"/>
    <w:rPr>
      <w:rFonts w:ascii="Oracle Sans" w:hAnsi="Oracle Sans" w:cs="Arial"/>
      <w:color w:val="252525"/>
      <w:sz w:val="22"/>
    </w:rPr>
  </w:style>
  <w:style w:type="paragraph" w:customStyle="1" w:styleId="P68B1DB1-Normal17">
    <w:name w:val="P68B1DB1-Normal17"/>
    <w:basedOn w:val="Normale"/>
    <w:rPr>
      <w:rFonts w:ascii="Oracle Sans" w:hAnsi="Oracle Sans"/>
      <w:b/>
      <w:color w:val="000000"/>
    </w:rPr>
  </w:style>
  <w:style w:type="paragraph" w:customStyle="1" w:styleId="P68B1DB1-Normal18">
    <w:name w:val="P68B1DB1-Normal18"/>
    <w:basedOn w:val="Normale"/>
    <w:rPr>
      <w:rFonts w:ascii="Oracle Sans" w:hAnsi="Oracle Sans" w:cs="Arial"/>
      <w:b/>
    </w:rPr>
  </w:style>
  <w:style w:type="paragraph" w:customStyle="1" w:styleId="P68B1DB1-Normal1">
    <w:name w:val="P68B1DB1-Normal1"/>
    <w:basedOn w:val="Normale"/>
    <w:rsid w:val="009B48C1"/>
    <w:rPr>
      <w:rFonts w:ascii="Oracle Sans" w:hAnsi="Oracle Sans" w:cs="Arial"/>
    </w:rPr>
  </w:style>
  <w:style w:type="paragraph" w:customStyle="1" w:styleId="P68B1DB1-Normal8">
    <w:name w:val="P68B1DB1-Normal8"/>
    <w:basedOn w:val="Normale"/>
    <w:rsid w:val="009B48C1"/>
    <w:rPr>
      <w:rFonts w:ascii="Oracle Sans" w:hAnsi="Oracle San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941">
      <w:bodyDiv w:val="1"/>
      <w:marLeft w:val="0"/>
      <w:marRight w:val="0"/>
      <w:marTop w:val="0"/>
      <w:marBottom w:val="0"/>
      <w:divBdr>
        <w:top w:val="none" w:sz="0" w:space="0" w:color="auto"/>
        <w:left w:val="none" w:sz="0" w:space="0" w:color="auto"/>
        <w:bottom w:val="none" w:sz="0" w:space="0" w:color="auto"/>
        <w:right w:val="none" w:sz="0" w:space="0" w:color="auto"/>
      </w:divBdr>
    </w:div>
    <w:div w:id="55401277">
      <w:bodyDiv w:val="1"/>
      <w:marLeft w:val="0"/>
      <w:marRight w:val="0"/>
      <w:marTop w:val="0"/>
      <w:marBottom w:val="0"/>
      <w:divBdr>
        <w:top w:val="none" w:sz="0" w:space="0" w:color="auto"/>
        <w:left w:val="none" w:sz="0" w:space="0" w:color="auto"/>
        <w:bottom w:val="none" w:sz="0" w:space="0" w:color="auto"/>
        <w:right w:val="none" w:sz="0" w:space="0" w:color="auto"/>
      </w:divBdr>
    </w:div>
    <w:div w:id="201675831">
      <w:bodyDiv w:val="1"/>
      <w:marLeft w:val="0"/>
      <w:marRight w:val="0"/>
      <w:marTop w:val="0"/>
      <w:marBottom w:val="0"/>
      <w:divBdr>
        <w:top w:val="none" w:sz="0" w:space="0" w:color="auto"/>
        <w:left w:val="none" w:sz="0" w:space="0" w:color="auto"/>
        <w:bottom w:val="none" w:sz="0" w:space="0" w:color="auto"/>
        <w:right w:val="none" w:sz="0" w:space="0" w:color="auto"/>
      </w:divBdr>
    </w:div>
    <w:div w:id="415398279">
      <w:bodyDiv w:val="1"/>
      <w:marLeft w:val="0"/>
      <w:marRight w:val="0"/>
      <w:marTop w:val="0"/>
      <w:marBottom w:val="0"/>
      <w:divBdr>
        <w:top w:val="none" w:sz="0" w:space="0" w:color="auto"/>
        <w:left w:val="none" w:sz="0" w:space="0" w:color="auto"/>
        <w:bottom w:val="none" w:sz="0" w:space="0" w:color="auto"/>
        <w:right w:val="none" w:sz="0" w:space="0" w:color="auto"/>
      </w:divBdr>
    </w:div>
    <w:div w:id="454713563">
      <w:bodyDiv w:val="1"/>
      <w:marLeft w:val="0"/>
      <w:marRight w:val="0"/>
      <w:marTop w:val="0"/>
      <w:marBottom w:val="0"/>
      <w:divBdr>
        <w:top w:val="none" w:sz="0" w:space="0" w:color="auto"/>
        <w:left w:val="none" w:sz="0" w:space="0" w:color="auto"/>
        <w:bottom w:val="none" w:sz="0" w:space="0" w:color="auto"/>
        <w:right w:val="none" w:sz="0" w:space="0" w:color="auto"/>
      </w:divBdr>
    </w:div>
    <w:div w:id="456602919">
      <w:bodyDiv w:val="1"/>
      <w:marLeft w:val="0"/>
      <w:marRight w:val="0"/>
      <w:marTop w:val="0"/>
      <w:marBottom w:val="0"/>
      <w:divBdr>
        <w:top w:val="none" w:sz="0" w:space="0" w:color="auto"/>
        <w:left w:val="none" w:sz="0" w:space="0" w:color="auto"/>
        <w:bottom w:val="none" w:sz="0" w:space="0" w:color="auto"/>
        <w:right w:val="none" w:sz="0" w:space="0" w:color="auto"/>
      </w:divBdr>
      <w:divsChild>
        <w:div w:id="1608658394">
          <w:marLeft w:val="0"/>
          <w:marRight w:val="0"/>
          <w:marTop w:val="0"/>
          <w:marBottom w:val="0"/>
          <w:divBdr>
            <w:top w:val="none" w:sz="0" w:space="0" w:color="auto"/>
            <w:left w:val="none" w:sz="0" w:space="0" w:color="auto"/>
            <w:bottom w:val="none" w:sz="0" w:space="0" w:color="auto"/>
            <w:right w:val="none" w:sz="0" w:space="0" w:color="auto"/>
          </w:divBdr>
        </w:div>
      </w:divsChild>
    </w:div>
    <w:div w:id="464545403">
      <w:bodyDiv w:val="1"/>
      <w:marLeft w:val="0"/>
      <w:marRight w:val="0"/>
      <w:marTop w:val="0"/>
      <w:marBottom w:val="0"/>
      <w:divBdr>
        <w:top w:val="none" w:sz="0" w:space="0" w:color="auto"/>
        <w:left w:val="none" w:sz="0" w:space="0" w:color="auto"/>
        <w:bottom w:val="none" w:sz="0" w:space="0" w:color="auto"/>
        <w:right w:val="none" w:sz="0" w:space="0" w:color="auto"/>
      </w:divBdr>
    </w:div>
    <w:div w:id="543372101">
      <w:bodyDiv w:val="1"/>
      <w:marLeft w:val="0"/>
      <w:marRight w:val="0"/>
      <w:marTop w:val="0"/>
      <w:marBottom w:val="0"/>
      <w:divBdr>
        <w:top w:val="none" w:sz="0" w:space="0" w:color="auto"/>
        <w:left w:val="none" w:sz="0" w:space="0" w:color="auto"/>
        <w:bottom w:val="none" w:sz="0" w:space="0" w:color="auto"/>
        <w:right w:val="none" w:sz="0" w:space="0" w:color="auto"/>
      </w:divBdr>
    </w:div>
    <w:div w:id="604189549">
      <w:bodyDiv w:val="1"/>
      <w:marLeft w:val="0"/>
      <w:marRight w:val="0"/>
      <w:marTop w:val="0"/>
      <w:marBottom w:val="0"/>
      <w:divBdr>
        <w:top w:val="none" w:sz="0" w:space="0" w:color="auto"/>
        <w:left w:val="none" w:sz="0" w:space="0" w:color="auto"/>
        <w:bottom w:val="none" w:sz="0" w:space="0" w:color="auto"/>
        <w:right w:val="none" w:sz="0" w:space="0" w:color="auto"/>
      </w:divBdr>
    </w:div>
    <w:div w:id="1012150637">
      <w:bodyDiv w:val="1"/>
      <w:marLeft w:val="0"/>
      <w:marRight w:val="0"/>
      <w:marTop w:val="0"/>
      <w:marBottom w:val="0"/>
      <w:divBdr>
        <w:top w:val="none" w:sz="0" w:space="0" w:color="auto"/>
        <w:left w:val="none" w:sz="0" w:space="0" w:color="auto"/>
        <w:bottom w:val="none" w:sz="0" w:space="0" w:color="auto"/>
        <w:right w:val="none" w:sz="0" w:space="0" w:color="auto"/>
      </w:divBdr>
    </w:div>
    <w:div w:id="1243956117">
      <w:bodyDiv w:val="1"/>
      <w:marLeft w:val="0"/>
      <w:marRight w:val="0"/>
      <w:marTop w:val="0"/>
      <w:marBottom w:val="0"/>
      <w:divBdr>
        <w:top w:val="none" w:sz="0" w:space="0" w:color="auto"/>
        <w:left w:val="none" w:sz="0" w:space="0" w:color="auto"/>
        <w:bottom w:val="none" w:sz="0" w:space="0" w:color="auto"/>
        <w:right w:val="none" w:sz="0" w:space="0" w:color="auto"/>
      </w:divBdr>
    </w:div>
    <w:div w:id="1373581514">
      <w:bodyDiv w:val="1"/>
      <w:marLeft w:val="0"/>
      <w:marRight w:val="0"/>
      <w:marTop w:val="0"/>
      <w:marBottom w:val="0"/>
      <w:divBdr>
        <w:top w:val="none" w:sz="0" w:space="0" w:color="auto"/>
        <w:left w:val="none" w:sz="0" w:space="0" w:color="auto"/>
        <w:bottom w:val="none" w:sz="0" w:space="0" w:color="auto"/>
        <w:right w:val="none" w:sz="0" w:space="0" w:color="auto"/>
      </w:divBdr>
    </w:div>
    <w:div w:id="1411348658">
      <w:bodyDiv w:val="1"/>
      <w:marLeft w:val="0"/>
      <w:marRight w:val="0"/>
      <w:marTop w:val="0"/>
      <w:marBottom w:val="0"/>
      <w:divBdr>
        <w:top w:val="none" w:sz="0" w:space="0" w:color="auto"/>
        <w:left w:val="none" w:sz="0" w:space="0" w:color="auto"/>
        <w:bottom w:val="none" w:sz="0" w:space="0" w:color="auto"/>
        <w:right w:val="none" w:sz="0" w:space="0" w:color="auto"/>
      </w:divBdr>
    </w:div>
    <w:div w:id="1654531237">
      <w:bodyDiv w:val="1"/>
      <w:marLeft w:val="0"/>
      <w:marRight w:val="0"/>
      <w:marTop w:val="0"/>
      <w:marBottom w:val="0"/>
      <w:divBdr>
        <w:top w:val="none" w:sz="0" w:space="0" w:color="auto"/>
        <w:left w:val="none" w:sz="0" w:space="0" w:color="auto"/>
        <w:bottom w:val="none" w:sz="0" w:space="0" w:color="auto"/>
        <w:right w:val="none" w:sz="0" w:space="0" w:color="auto"/>
      </w:divBdr>
    </w:div>
    <w:div w:id="1780636890">
      <w:bodyDiv w:val="1"/>
      <w:marLeft w:val="0"/>
      <w:marRight w:val="0"/>
      <w:marTop w:val="0"/>
      <w:marBottom w:val="0"/>
      <w:divBdr>
        <w:top w:val="none" w:sz="0" w:space="0" w:color="auto"/>
        <w:left w:val="none" w:sz="0" w:space="0" w:color="auto"/>
        <w:bottom w:val="none" w:sz="0" w:space="0" w:color="auto"/>
        <w:right w:val="none" w:sz="0" w:space="0" w:color="auto"/>
      </w:divBdr>
    </w:div>
    <w:div w:id="1972786745">
      <w:bodyDiv w:val="1"/>
      <w:marLeft w:val="0"/>
      <w:marRight w:val="0"/>
      <w:marTop w:val="0"/>
      <w:marBottom w:val="0"/>
      <w:divBdr>
        <w:top w:val="none" w:sz="0" w:space="0" w:color="auto"/>
        <w:left w:val="none" w:sz="0" w:space="0" w:color="auto"/>
        <w:bottom w:val="none" w:sz="0" w:space="0" w:color="auto"/>
        <w:right w:val="none" w:sz="0" w:space="0" w:color="auto"/>
      </w:divBdr>
    </w:div>
    <w:div w:id="20436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cle.com/cloud/" TargetMode="External"/><Relationship Id="rId13" Type="http://schemas.openxmlformats.org/officeDocument/2006/relationships/hyperlink" Target="https://www.oracle.com/news/announcement/nri-deploys-second-oci-dedicated-region-2022-06-21/" TargetMode="External"/><Relationship Id="rId18" Type="http://schemas.openxmlformats.org/officeDocument/2006/relationships/hyperlink" Target="https://www.oracle.com/mysq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racle.com/cloudworld/" TargetMode="External"/><Relationship Id="rId7" Type="http://schemas.openxmlformats.org/officeDocument/2006/relationships/image" Target="media/image1.png"/><Relationship Id="rId12" Type="http://schemas.openxmlformats.org/officeDocument/2006/relationships/hyperlink" Target="https://www.oracle.com/news/announcement/nri-runs-mission-critical-financial-saas-on-oracle-cloud-infrastructure-and-accelerates-digital-transformation-2021-11-08/" TargetMode="External"/><Relationship Id="rId17" Type="http://schemas.openxmlformats.org/officeDocument/2006/relationships/hyperlink" Target="https://www.oracle.com/cloud/alloy/" TargetMode="External"/><Relationship Id="rId25" Type="http://schemas.openxmlformats.org/officeDocument/2006/relationships/hyperlink" Target="mailto:team.oracle@primapagina.it" TargetMode="External"/><Relationship Id="rId2" Type="http://schemas.openxmlformats.org/officeDocument/2006/relationships/styles" Target="styles.xml"/><Relationship Id="rId16" Type="http://schemas.openxmlformats.org/officeDocument/2006/relationships/hyperlink" Target="https://www.oracle.com/cloud/azure/oracle-database-at-azure/" TargetMode="External"/><Relationship Id="rId20" Type="http://schemas.openxmlformats.org/officeDocument/2006/relationships/hyperlink" Target="https://urldefense.com/v3/__https:/c212.net/c/link/?t=0&amp;l=en&amp;o=2364723-1&amp;h=817165358&amp;u=http*3A*2F*2Foracle.com*2F&amp;a=oracle.com__;JSUlJQ!!ACWV5N9M2RV99hQ!ONeZWrCLC0Z8XJ0ZSDgbMqbdGSRLbGdkbLU2xWR17M0WfGnMEQDjt-PBD8tUzd3gNaN4OAoUgL7ROgYSprkNJi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oracle.com/cloud-infrastructure/post/delivering-ongoing-innovation-oracle-alloy" TargetMode="External"/><Relationship Id="rId24" Type="http://schemas.openxmlformats.org/officeDocument/2006/relationships/hyperlink" Target="mailto:simona.menghini@oracle.com" TargetMode="External"/><Relationship Id="rId5" Type="http://schemas.openxmlformats.org/officeDocument/2006/relationships/footnotes" Target="footnotes.xml"/><Relationship Id="rId15" Type="http://schemas.openxmlformats.org/officeDocument/2006/relationships/hyperlink" Target="https://www.oracle.com/cloud/" TargetMode="External"/><Relationship Id="rId23" Type="http://schemas.openxmlformats.org/officeDocument/2006/relationships/hyperlink" Target="http://www.oracle.com/investor" TargetMode="External"/><Relationship Id="rId10" Type="http://schemas.openxmlformats.org/officeDocument/2006/relationships/hyperlink" Target="https://www.nri.com/en" TargetMode="External"/><Relationship Id="rId19" Type="http://schemas.openxmlformats.org/officeDocument/2006/relationships/hyperlink" Target="https://urldefense.com/v3/__https:/c212.net/c/link/?t=0&amp;l=en&amp;o=2364723-1&amp;h=817165358&amp;u=http*3A*2F*2Foracle.com*2F&amp;a=oracle.com__;JSUlJQ!!ACWV5N9M2RV99hQ!ONeZWrCLC0Z8XJ0ZSDgbMqbdGSRLbGdkbLU2xWR17M0WfGnMEQDjt-PBD8tUzd3gNaN4OAoUgL7ROgYSprkNJi36$" TargetMode="External"/><Relationship Id="rId4" Type="http://schemas.openxmlformats.org/officeDocument/2006/relationships/webSettings" Target="webSettings.xml"/><Relationship Id="rId9" Type="http://schemas.openxmlformats.org/officeDocument/2006/relationships/hyperlink" Target="https://www.oracle.com/cloud/distributed-cloud/" TargetMode="External"/><Relationship Id="rId14" Type="http://schemas.openxmlformats.org/officeDocument/2006/relationships/hyperlink" Target="https://www.oracle.com/news/announcement/nri-selects-oci-dedicated-region-to-support-hundreds-of-millions-of-financial-trades-a-day-2023-04-14/" TargetMode="External"/><Relationship Id="rId22" Type="http://schemas.openxmlformats.org/officeDocument/2006/relationships/hyperlink" Target="https://www.oracle.com/new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1879</Words>
  <Characters>10714</Characters>
  <Application>Microsoft Office Word</Application>
  <DocSecurity>0</DocSecurity>
  <Lines>89</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Oracle Corporation</Company>
  <LinksUpToDate>false</LinksUpToDate>
  <CharactersWithSpaces>12568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DDALEY</dc:creator>
  <cp:lastModifiedBy>Viviana Viviani</cp:lastModifiedBy>
  <cp:revision>13</cp:revision>
  <dcterms:created xsi:type="dcterms:W3CDTF">2023-09-25T08:40:00Z</dcterms:created>
  <dcterms:modified xsi:type="dcterms:W3CDTF">2023-09-25T09:24:00Z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194ce0d0a5668efdafe1bc343786fe3db646f7e8eab79d0992e6c6acdb062565</vt:lpwstr>
  </property>
</Properties>
</file>