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FBC5" w14:textId="679CA25C" w:rsidR="00736AFE" w:rsidRDefault="00736AFE" w:rsidP="00736AFE">
      <w:pPr>
        <w:pStyle w:val="P68B1DB1-Normal1"/>
      </w:pPr>
      <w:r>
        <w:rPr>
          <w:rFonts w:ascii="Calibri" w:hAnsi="Calibri"/>
          <w:noProof/>
        </w:rPr>
        <w:drawing>
          <wp:inline distT="0" distB="0" distL="0" distR="0" wp14:anchorId="26F964F6" wp14:editId="5D7188DE">
            <wp:extent cx="1797050" cy="349885"/>
            <wp:effectExtent l="0" t="0" r="12700" b="12065"/>
            <wp:docPr id="192530128" name="Immagin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</w:rPr>
        <w:t>Comunicato stampa</w:t>
      </w:r>
    </w:p>
    <w:p w14:paraId="2FA19C91" w14:textId="77777777" w:rsidR="00736AFE" w:rsidRDefault="00736AFE" w:rsidP="00736AFE">
      <w:pPr>
        <w:spacing w:after="96" w:line="240" w:lineRule="auto"/>
        <w:jc w:val="center"/>
      </w:pPr>
      <w:r>
        <w:rPr>
          <w:b/>
          <w:bCs/>
          <w:sz w:val="24"/>
          <w:szCs w:val="24"/>
          <w:lang w:eastAsia="it-IT"/>
          <w14:ligatures w14:val="none"/>
        </w:rPr>
        <w:t> </w:t>
      </w:r>
    </w:p>
    <w:p w14:paraId="66004502" w14:textId="77777777" w:rsidR="00736AFE" w:rsidRDefault="00736AFE" w:rsidP="00736AFE">
      <w:pPr>
        <w:spacing w:after="96" w:line="240" w:lineRule="auto"/>
        <w:jc w:val="center"/>
      </w:pPr>
      <w:r>
        <w:rPr>
          <w:rFonts w:ascii="Oracle Sans" w:hAnsi="Oracle Sans"/>
          <w:b/>
          <w:bCs/>
          <w:sz w:val="28"/>
          <w:szCs w:val="28"/>
          <w:lang w:eastAsia="it-IT"/>
          <w14:ligatures w14:val="none"/>
        </w:rPr>
        <w:t xml:space="preserve">Oracle e Mastercard permettono ai clienti </w:t>
      </w:r>
      <w:r>
        <w:rPr>
          <w:rFonts w:ascii="Oracle Sans" w:hAnsi="Oracle Sans"/>
          <w:b/>
          <w:bCs/>
          <w:sz w:val="28"/>
          <w:szCs w:val="28"/>
          <w:lang w:eastAsia="it-IT"/>
          <w14:ligatures w14:val="none"/>
        </w:rPr>
        <w:br/>
        <w:t>di accedere più velocemente al capitale circolante</w:t>
      </w:r>
    </w:p>
    <w:p w14:paraId="336451DE" w14:textId="77777777" w:rsidR="00736AFE" w:rsidRDefault="00736AFE" w:rsidP="00736AFE">
      <w:pPr>
        <w:spacing w:after="0" w:line="240" w:lineRule="auto"/>
        <w:jc w:val="center"/>
      </w:pPr>
      <w:r>
        <w:rPr>
          <w:rFonts w:ascii="Oracle Sans" w:hAnsi="Oracle Sans"/>
          <w:b/>
          <w:bCs/>
          <w:i/>
          <w:iCs/>
          <w:sz w:val="24"/>
          <w:szCs w:val="24"/>
          <w:lang w:eastAsia="it-IT"/>
          <w14:ligatures w14:val="none"/>
        </w:rPr>
        <w:t> </w:t>
      </w:r>
    </w:p>
    <w:p w14:paraId="2AA579F5" w14:textId="77777777" w:rsidR="00736AFE" w:rsidRDefault="00736AFE" w:rsidP="00736AFE">
      <w:pPr>
        <w:spacing w:after="0" w:line="240" w:lineRule="auto"/>
        <w:jc w:val="center"/>
      </w:pPr>
      <w:r>
        <w:rPr>
          <w:rFonts w:ascii="Oracle Sans" w:hAnsi="Oracle Sans"/>
          <w:i/>
          <w:iCs/>
          <w:sz w:val="24"/>
          <w:szCs w:val="24"/>
          <w:lang w:eastAsia="it-IT"/>
          <w14:ligatures w14:val="none"/>
        </w:rPr>
        <w:t>La partnership sfrutta l’innovativa piattaforma per le virtual card di Mastercard</w:t>
      </w:r>
    </w:p>
    <w:p w14:paraId="29446A59" w14:textId="77777777" w:rsidR="00736AFE" w:rsidRDefault="00736AFE" w:rsidP="00736AFE">
      <w:pPr>
        <w:spacing w:after="0" w:line="240" w:lineRule="auto"/>
        <w:jc w:val="center"/>
      </w:pPr>
      <w:r>
        <w:rPr>
          <w:rFonts w:ascii="Oracle Sans" w:hAnsi="Oracle Sans"/>
          <w:i/>
          <w:iCs/>
          <w:sz w:val="24"/>
          <w:szCs w:val="24"/>
          <w:lang w:eastAsia="it-IT"/>
          <w14:ligatures w14:val="none"/>
        </w:rPr>
        <w:t xml:space="preserve">per ampliare l’accesso alle funzionalità finance integrate in Oracle Cloud ERP </w:t>
      </w:r>
    </w:p>
    <w:p w14:paraId="40B0909A" w14:textId="77777777" w:rsidR="00736AFE" w:rsidRDefault="00736AFE" w:rsidP="00736AFE">
      <w:pPr>
        <w:spacing w:after="0" w:line="240" w:lineRule="auto"/>
        <w:jc w:val="center"/>
      </w:pPr>
      <w:r>
        <w:rPr>
          <w:rFonts w:ascii="Oracle Sans" w:hAnsi="Oracle Sans"/>
          <w:i/>
          <w:iCs/>
          <w:sz w:val="24"/>
          <w:szCs w:val="24"/>
          <w:lang w:eastAsia="it-IT"/>
          <w14:ligatures w14:val="none"/>
        </w:rPr>
        <w:t>e raggiungere le aziende di tutto il mondo</w:t>
      </w:r>
    </w:p>
    <w:p w14:paraId="50A84D98" w14:textId="77777777" w:rsidR="00736AFE" w:rsidRDefault="00736AFE" w:rsidP="00736AFE">
      <w:pPr>
        <w:spacing w:after="96" w:line="240" w:lineRule="auto"/>
        <w:jc w:val="center"/>
      </w:pPr>
      <w:r>
        <w:rPr>
          <w:rFonts w:ascii="Oracle Sans" w:hAnsi="Oracle Sans"/>
          <w:sz w:val="24"/>
          <w:szCs w:val="24"/>
          <w:lang w:eastAsia="it-IT"/>
          <w14:ligatures w14:val="none"/>
        </w:rPr>
        <w:t> </w:t>
      </w:r>
    </w:p>
    <w:p w14:paraId="63B59E67" w14:textId="24D12835" w:rsidR="00736AFE" w:rsidRDefault="00736AFE" w:rsidP="00736AFE">
      <w:pPr>
        <w:spacing w:after="96" w:line="240" w:lineRule="auto"/>
      </w:pPr>
      <w:r>
        <w:rPr>
          <w:rFonts w:ascii="Oracle Sans" w:hAnsi="Oracle Sans"/>
          <w:b/>
          <w:bCs/>
          <w:lang w:eastAsia="it-IT"/>
          <w14:ligatures w14:val="none"/>
        </w:rPr>
        <w:t>Oracle Cloud World, Las Vegas (USA)/ Milano, 12 ottobre 2023</w:t>
      </w:r>
      <w:r>
        <w:rPr>
          <w:rFonts w:ascii="Oracle Sans" w:hAnsi="Oracle Sans"/>
          <w:lang w:eastAsia="it-IT"/>
          <w14:ligatures w14:val="none"/>
        </w:rPr>
        <w:t xml:space="preserve"> – Oracle e Mastercard hanno annunciato una nuova partnership per aiutare le aziende clienti ad automatizzare le transazioni di pagamento B2B, in modo </w:t>
      </w:r>
      <w:r>
        <w:rPr>
          <w:rFonts w:ascii="Oracle Sans" w:hAnsi="Oracle Sans"/>
          <w:i/>
          <w:iCs/>
          <w:lang w:eastAsia="it-IT"/>
          <w14:ligatures w14:val="none"/>
        </w:rPr>
        <w:t>end-to-end</w:t>
      </w:r>
      <w:r>
        <w:rPr>
          <w:rFonts w:ascii="Oracle Sans" w:hAnsi="Oracle Sans"/>
          <w:lang w:eastAsia="it-IT"/>
          <w14:ligatures w14:val="none"/>
        </w:rPr>
        <w:t xml:space="preserve">. La collaborazione permette a Oracle di connettere direttamente la suite </w:t>
      </w:r>
      <w:hyperlink r:id="rId8" w:history="1">
        <w:r>
          <w:rPr>
            <w:rStyle w:val="Collegamentoipertestuale"/>
            <w:rFonts w:ascii="Oracle Sans" w:hAnsi="Oracle Sans"/>
            <w:color w:val="006B8F"/>
            <w:lang w:eastAsia="it-IT"/>
            <w14:ligatures w14:val="none"/>
          </w:rPr>
          <w:t>Oracle Fusion Cloud Enterprise Resource Planning (ERP)</w:t>
        </w:r>
      </w:hyperlink>
      <w:r>
        <w:rPr>
          <w:rFonts w:ascii="Oracle Sans" w:hAnsi="Oracle Sans"/>
          <w:lang w:eastAsia="it-IT"/>
          <w14:ligatures w14:val="none"/>
        </w:rPr>
        <w:t xml:space="preserve"> con gli istituti bancari per semplificare e automatizzare tutti i processi di </w:t>
      </w:r>
      <w:r>
        <w:rPr>
          <w:rFonts w:ascii="Oracle Sans" w:hAnsi="Oracle Sans"/>
          <w:i/>
          <w:iCs/>
          <w:lang w:eastAsia="it-IT"/>
          <w14:ligatures w14:val="none"/>
        </w:rPr>
        <w:t xml:space="preserve">pagamento e finanziari </w:t>
      </w:r>
      <w:r>
        <w:rPr>
          <w:rFonts w:ascii="Oracle Sans" w:hAnsi="Oracle Sans"/>
          <w:lang w:eastAsia="it-IT"/>
          <w14:ligatures w14:val="none"/>
        </w:rPr>
        <w:t>in ambito B2B.</w:t>
      </w:r>
    </w:p>
    <w:p w14:paraId="498ABB9F" w14:textId="77777777" w:rsidR="00736AFE" w:rsidRDefault="00736AFE" w:rsidP="00736AFE">
      <w:pPr>
        <w:spacing w:after="96" w:line="240" w:lineRule="auto"/>
      </w:pPr>
      <w:r>
        <w:rPr>
          <w:rFonts w:ascii="Oracle Sans" w:hAnsi="Oracle Sans"/>
          <w:lang w:eastAsia="it-IT"/>
          <w14:ligatures w14:val="none"/>
        </w:rPr>
        <w:t xml:space="preserve">Molte aziende desiderano semplificare la propria gestione dei pagamenti commerciali. Purtroppo, però, la presenza dei più disparati tipi di dati, processi e sistemi nell’ecosistema ostacola l’efficienza delle transazioni. Per vincere queste sfide e permettere a tutte le organizzazioni di connettersi in modo sicuro e di condividere informazioni tra tutte le parti coinvolte nella relazione commerciale, Oracle sfrutterà l’innovativa piattaforma per le virtual card di Mastercard; aiuterà così a rendere più spedite le transazioni finanziare end-to-end dei suoi clienti corporate – e permetterà agli istituti bancari di offrire servizi a valore aggiunto integrati in Oracle Cloud ERP. </w:t>
      </w:r>
    </w:p>
    <w:p w14:paraId="6A4C934F" w14:textId="77777777" w:rsidR="00736AFE" w:rsidRDefault="00736AFE" w:rsidP="00736AFE">
      <w:pPr>
        <w:spacing w:after="96" w:line="240" w:lineRule="auto"/>
      </w:pPr>
      <w:r>
        <w:rPr>
          <w:rFonts w:ascii="Oracle Sans" w:hAnsi="Oracle Sans"/>
          <w:lang w:eastAsia="it-IT"/>
          <w14:ligatures w14:val="none"/>
        </w:rPr>
        <w:t>“</w:t>
      </w:r>
      <w:r>
        <w:rPr>
          <w:rFonts w:ascii="Oracle Sans" w:hAnsi="Oracle Sans"/>
          <w:i/>
          <w:iCs/>
          <w:lang w:eastAsia="it-IT"/>
          <w14:ligatures w14:val="none"/>
        </w:rPr>
        <w:t>La tecnologia virtual card di Mastercard può giocare un ruolo significativo nel trasformare le esperienze di pagamento commerciale</w:t>
      </w:r>
      <w:r>
        <w:rPr>
          <w:rFonts w:ascii="Oracle Sans" w:hAnsi="Oracle Sans"/>
          <w:lang w:eastAsia="it-IT"/>
          <w14:ligatures w14:val="none"/>
        </w:rPr>
        <w:t xml:space="preserve">” ha dichiarato </w:t>
      </w:r>
      <w:r>
        <w:rPr>
          <w:rFonts w:ascii="Oracle Sans" w:hAnsi="Oracle Sans"/>
          <w:b/>
          <w:bCs/>
          <w:lang w:eastAsia="it-IT"/>
          <w14:ligatures w14:val="none"/>
        </w:rPr>
        <w:t>Eugene Bourke</w:t>
      </w:r>
      <w:r>
        <w:rPr>
          <w:rFonts w:ascii="Oracle Sans" w:hAnsi="Oracle Sans"/>
          <w:lang w:eastAsia="it-IT"/>
          <w14:ligatures w14:val="none"/>
        </w:rPr>
        <w:t xml:space="preserve">, </w:t>
      </w:r>
      <w:r>
        <w:rPr>
          <w:rFonts w:ascii="Oracle Sans" w:hAnsi="Oracle Sans"/>
          <w:b/>
          <w:bCs/>
          <w:lang w:eastAsia="it-IT"/>
          <w14:ligatures w14:val="none"/>
        </w:rPr>
        <w:t>executive vice president, Global Partnerships and Segments, Mastercard</w:t>
      </w:r>
      <w:r>
        <w:rPr>
          <w:rFonts w:ascii="Oracle Sans" w:hAnsi="Oracle Sans"/>
          <w:lang w:eastAsia="it-IT"/>
          <w14:ligatures w14:val="none"/>
        </w:rPr>
        <w:t>. “</w:t>
      </w:r>
      <w:r>
        <w:rPr>
          <w:rFonts w:ascii="Oracle Sans" w:hAnsi="Oracle Sans"/>
          <w:i/>
          <w:iCs/>
          <w:lang w:eastAsia="it-IT"/>
          <w14:ligatures w14:val="none"/>
        </w:rPr>
        <w:t xml:space="preserve">Integrando funzionalità finanziarie e di pagamento in Oracle Cloud ERP i clienti corporate accedono in modo più semplice a servizi per far crescere il loro business e le banche possono migliorare la loro offerta con soluzioni personalizzate, disponibili in modo tempestivo”. </w:t>
      </w:r>
    </w:p>
    <w:p w14:paraId="16BC21A8" w14:textId="77777777" w:rsidR="00736AFE" w:rsidRDefault="00736AFE" w:rsidP="00736AFE">
      <w:pPr>
        <w:spacing w:after="96" w:line="240" w:lineRule="auto"/>
      </w:pPr>
      <w:r>
        <w:rPr>
          <w:rFonts w:ascii="Oracle Sans" w:hAnsi="Oracle Sans"/>
          <w:lang w:eastAsia="it-IT"/>
          <w14:ligatures w14:val="none"/>
        </w:rPr>
        <w:t>Integrare la tecnologia virtual card di Mastercard aiuta a evitare mesi di lavoro di implementazione e a ridurre in modo significativo l’impegno necessario per impostare e configurare programmi relativi alle carte di pagamento, oltre che la complessità tecnica del tutto. Per i clienti condivisi di Oracle Cloud ERP e Mastercard ci saranno, quindi, diverse opportunità da cui trarre vantaggio:</w:t>
      </w:r>
    </w:p>
    <w:p w14:paraId="4A63E958" w14:textId="77777777" w:rsidR="00736AFE" w:rsidRDefault="00736AFE" w:rsidP="00736AFE">
      <w:pPr>
        <w:pStyle w:val="Paragrafoelenco"/>
        <w:numPr>
          <w:ilvl w:val="0"/>
          <w:numId w:val="1"/>
        </w:numPr>
        <w:spacing w:after="240" w:line="240" w:lineRule="auto"/>
        <w:rPr>
          <w:rFonts w:eastAsia="Times New Roman"/>
        </w:rPr>
      </w:pPr>
      <w:r>
        <w:rPr>
          <w:rFonts w:ascii="Oracle Sans" w:eastAsia="Times New Roman" w:hAnsi="Oracle Sans"/>
          <w:b/>
          <w:bCs/>
          <w:lang w:eastAsia="it-IT"/>
          <w14:ligatures w14:val="none"/>
        </w:rPr>
        <w:t>Virtual Cards for Supplier Invoice Payments</w:t>
      </w:r>
      <w:r>
        <w:rPr>
          <w:rFonts w:ascii="Oracle Sans" w:eastAsia="Times New Roman" w:hAnsi="Oracle Sans"/>
          <w:lang w:eastAsia="it-IT"/>
          <w14:ligatures w14:val="none"/>
        </w:rPr>
        <w:t>: permette di identificare i fornitori che accettano le carte di credito, automatizzare la generazione di carte virtuali e la gestione di alti volumi di pagamento, semplificare il processo di riconciliazione bancaria in Oracle Cloud ERP. La gestione end-to-end dei pagamenti include anche il trasferimento diretto verso i conti bancari dei fornitori e una maggiore semplicità per i fornitori nella riconciliazione delle rimesse.</w:t>
      </w:r>
    </w:p>
    <w:p w14:paraId="75FBC176" w14:textId="77777777" w:rsidR="00736AFE" w:rsidRDefault="00736AFE" w:rsidP="00736AFE">
      <w:pPr>
        <w:pStyle w:val="Paragrafoelenco"/>
        <w:numPr>
          <w:ilvl w:val="0"/>
          <w:numId w:val="1"/>
        </w:numPr>
        <w:spacing w:after="96" w:line="240" w:lineRule="auto"/>
        <w:rPr>
          <w:rFonts w:eastAsia="Times New Roman"/>
        </w:rPr>
      </w:pPr>
      <w:r>
        <w:rPr>
          <w:rFonts w:ascii="Oracle Sans" w:eastAsia="Times New Roman" w:hAnsi="Oracle Sans"/>
          <w:b/>
          <w:bCs/>
          <w:lang w:eastAsia="it-IT"/>
          <w14:ligatures w14:val="none"/>
        </w:rPr>
        <w:t>Virtual Cards for Corporate Purchases</w:t>
      </w:r>
      <w:r>
        <w:rPr>
          <w:rFonts w:ascii="Oracle Sans" w:eastAsia="Times New Roman" w:hAnsi="Oracle Sans"/>
          <w:lang w:eastAsia="it-IT"/>
          <w14:ligatures w14:val="none"/>
        </w:rPr>
        <w:t xml:space="preserve">: permette alle aziende di sostituire i tradizionali metodi di pagamento con virtual card sicure, per migliorare la capacità di proteggersi dalle frodi; permette alla funzione </w:t>
      </w:r>
      <w:r>
        <w:rPr>
          <w:rFonts w:ascii="Oracle Sans" w:eastAsia="Times New Roman" w:hAnsi="Oracle Sans"/>
          <w:i/>
          <w:iCs/>
          <w:lang w:eastAsia="it-IT"/>
          <w14:ligatures w14:val="none"/>
        </w:rPr>
        <w:t xml:space="preserve">procurement </w:t>
      </w:r>
      <w:r>
        <w:rPr>
          <w:rFonts w:ascii="Oracle Sans" w:eastAsia="Times New Roman" w:hAnsi="Oracle Sans"/>
          <w:lang w:eastAsia="it-IT"/>
          <w14:ligatures w14:val="none"/>
        </w:rPr>
        <w:t>di gestire in modo centralizzato le richieste da virtual card dei dipendenti, per supportare la gestione on-demand degli acquisti.</w:t>
      </w:r>
    </w:p>
    <w:p w14:paraId="5639CCAB" w14:textId="77777777" w:rsidR="00736AFE" w:rsidRDefault="00736AFE" w:rsidP="00736AFE">
      <w:pPr>
        <w:pStyle w:val="Paragrafoelenco"/>
        <w:spacing w:after="96" w:line="240" w:lineRule="auto"/>
      </w:pPr>
      <w:r>
        <w:rPr>
          <w:rFonts w:ascii="Oracle Sans" w:hAnsi="Oracle Sans"/>
          <w:lang w:eastAsia="it-IT"/>
          <w14:ligatures w14:val="none"/>
        </w:rPr>
        <w:t> </w:t>
      </w:r>
    </w:p>
    <w:p w14:paraId="026D9F41" w14:textId="77777777" w:rsidR="00736AFE" w:rsidRDefault="00736AFE" w:rsidP="00736AFE">
      <w:pPr>
        <w:spacing w:after="96" w:line="240" w:lineRule="auto"/>
      </w:pPr>
      <w:r>
        <w:rPr>
          <w:rFonts w:ascii="Oracle Sans" w:hAnsi="Oracle Sans"/>
          <w:lang w:eastAsia="it-IT"/>
          <w14:ligatures w14:val="none"/>
        </w:rPr>
        <w:t>Dopo che le virtual card di Mastercard sono state integrate in Oracle Cloud ERP, i clienti possono pagare i fornitori in modo rapido e sicuro usando il network di pagamento globale di Mastercard. Si possono attivare facilmente servizi con le banche per gestire flussi di cassa, migliorare la protezione dalle frodi e avere accesso a incentivi. Inoltre, i fornitori traggono vantaggio da pagamenti più rapidi, minori rischi di raccolta e una più semplice gestione dei crediti.</w:t>
      </w:r>
    </w:p>
    <w:p w14:paraId="42834001" w14:textId="77777777" w:rsidR="00736AFE" w:rsidRDefault="00736AFE" w:rsidP="00736AFE">
      <w:pPr>
        <w:spacing w:after="96" w:line="240" w:lineRule="auto"/>
      </w:pPr>
      <w:r>
        <w:rPr>
          <w:rFonts w:ascii="Oracle Sans" w:hAnsi="Oracle Sans"/>
          <w:lang w:eastAsia="it-IT"/>
          <w14:ligatures w14:val="none"/>
        </w:rPr>
        <w:lastRenderedPageBreak/>
        <w:t xml:space="preserve">Importanti istituti bancari stanno lavorando con Oracle per migliorare l’esperienza utente e incoraggiare l’adozione dei pagamenti con carte virtuali. HSBC è la prima banca che ha adottato questa soluzione e offrirà un’esperienza </w:t>
      </w:r>
      <w:r>
        <w:rPr>
          <w:rFonts w:ascii="Oracle Sans" w:hAnsi="Oracle Sans"/>
          <w:i/>
          <w:iCs/>
          <w:lang w:eastAsia="it-IT"/>
          <w14:ligatures w14:val="none"/>
        </w:rPr>
        <w:t>virtual card</w:t>
      </w:r>
      <w:r>
        <w:rPr>
          <w:rFonts w:ascii="Oracle Sans" w:hAnsi="Oracle Sans"/>
          <w:lang w:eastAsia="it-IT"/>
          <w14:ligatures w14:val="none"/>
        </w:rPr>
        <w:t xml:space="preserve"> integrata ai clienti Oracle degli Stati Uniti e del Regno Unito.</w:t>
      </w:r>
    </w:p>
    <w:p w14:paraId="403B3378" w14:textId="77777777" w:rsidR="00736AFE" w:rsidRDefault="00736AFE" w:rsidP="00736AFE">
      <w:pPr>
        <w:spacing w:after="96" w:line="240" w:lineRule="auto"/>
      </w:pPr>
      <w:r>
        <w:rPr>
          <w:rFonts w:ascii="Oracle Sans" w:hAnsi="Oracle Sans"/>
          <w:i/>
          <w:iCs/>
          <w:lang w:eastAsia="it-IT"/>
          <w14:ligatures w14:val="none"/>
        </w:rPr>
        <w:t>“Integrare i servizi finanziari di HSBC nei sistemi che i nostri clienti usano ogni giorno è uno dei nostri obiettivi principali. Molti di loro usano anche Oracle Cloud ERP, quindi questa partnership per noi ha molto valore</w:t>
      </w:r>
      <w:r>
        <w:rPr>
          <w:rFonts w:ascii="Oracle Sans" w:hAnsi="Oracle Sans"/>
          <w:lang w:eastAsia="it-IT"/>
          <w14:ligatures w14:val="none"/>
        </w:rPr>
        <w:t xml:space="preserve">”, ha dichiarato </w:t>
      </w:r>
      <w:r>
        <w:rPr>
          <w:rFonts w:ascii="Oracle Sans" w:hAnsi="Oracle Sans"/>
          <w:b/>
          <w:bCs/>
          <w:lang w:eastAsia="it-IT"/>
          <w14:ligatures w14:val="none"/>
        </w:rPr>
        <w:t>Brian Tomkins, managing director, Global Head of Commercial Cards, HSBC</w:t>
      </w:r>
      <w:r>
        <w:rPr>
          <w:rFonts w:ascii="Oracle Sans" w:hAnsi="Oracle Sans"/>
          <w:lang w:eastAsia="it-IT"/>
          <w14:ligatures w14:val="none"/>
        </w:rPr>
        <w:t>. “</w:t>
      </w:r>
      <w:r>
        <w:rPr>
          <w:rFonts w:ascii="Oracle Sans" w:hAnsi="Oracle Sans"/>
          <w:i/>
          <w:iCs/>
          <w:lang w:eastAsia="it-IT"/>
          <w14:ligatures w14:val="none"/>
        </w:rPr>
        <w:t>Lavoreremo con Oracle e Mastercard per offrire questa opportunità ai clienti che condividiamo, in tutto il mondo</w:t>
      </w:r>
      <w:r>
        <w:rPr>
          <w:rFonts w:ascii="Oracle Sans" w:hAnsi="Oracle Sans"/>
          <w:lang w:eastAsia="it-IT"/>
          <w14:ligatures w14:val="none"/>
        </w:rPr>
        <w:t>”.</w:t>
      </w:r>
    </w:p>
    <w:p w14:paraId="3A32498D" w14:textId="77777777" w:rsidR="00736AFE" w:rsidRDefault="00736AFE" w:rsidP="00736AFE">
      <w:pPr>
        <w:spacing w:after="96" w:line="240" w:lineRule="auto"/>
      </w:pPr>
      <w:r>
        <w:rPr>
          <w:rFonts w:ascii="Oracle Sans" w:hAnsi="Oracle Sans"/>
          <w:lang w:eastAsia="it-IT"/>
          <w14:ligatures w14:val="none"/>
        </w:rPr>
        <w:t>“</w:t>
      </w:r>
      <w:r>
        <w:rPr>
          <w:rFonts w:ascii="Oracle Sans" w:hAnsi="Oracle Sans"/>
          <w:i/>
          <w:iCs/>
          <w:lang w:eastAsia="it-IT"/>
          <w14:ligatures w14:val="none"/>
        </w:rPr>
        <w:t>Le transazioni business-to-consumer sono diventate sempre più facili e veloci negli ultimi anni, mentre quelle B2B sono rimaste incredibilmente complesse e inefficienti</w:t>
      </w:r>
      <w:r>
        <w:rPr>
          <w:rFonts w:ascii="Oracle Sans" w:hAnsi="Oracle Sans"/>
          <w:lang w:eastAsia="it-IT"/>
          <w14:ligatures w14:val="none"/>
        </w:rPr>
        <w:t xml:space="preserve">”, ha dichiarato </w:t>
      </w:r>
      <w:r>
        <w:rPr>
          <w:rFonts w:ascii="Oracle Sans" w:hAnsi="Oracle Sans"/>
          <w:b/>
          <w:bCs/>
          <w:lang w:eastAsia="it-IT"/>
          <w14:ligatures w14:val="none"/>
        </w:rPr>
        <w:t>Rondy Ng, executive vice president of Applications Development, Oracle.</w:t>
      </w:r>
      <w:r>
        <w:rPr>
          <w:rFonts w:ascii="Oracle Sans" w:hAnsi="Oracle Sans"/>
          <w:lang w:eastAsia="it-IT"/>
          <w14:ligatures w14:val="none"/>
        </w:rPr>
        <w:t xml:space="preserve"> “</w:t>
      </w:r>
      <w:r>
        <w:rPr>
          <w:rFonts w:ascii="Oracle Sans" w:hAnsi="Oracle Sans"/>
          <w:i/>
          <w:iCs/>
          <w:lang w:eastAsia="it-IT"/>
          <w14:ligatures w14:val="none"/>
        </w:rPr>
        <w:t>La nostra partnership con Mastercard e la comunità bancaria mondiale rivoluziona il modo in cui le organizzazioni gestiscono le transazioni, perchè permette ai nostri clienti di gestire il capitale, l’accesso al credito, la sicurezza dei finanziamenti – tutto nel perimetro di Oracle Cloud ERP”</w:t>
      </w:r>
      <w:r>
        <w:rPr>
          <w:rFonts w:ascii="Oracle Sans" w:hAnsi="Oracle Sans"/>
          <w:lang w:eastAsia="it-IT"/>
          <w14:ligatures w14:val="none"/>
        </w:rPr>
        <w:t xml:space="preserve">. </w:t>
      </w:r>
    </w:p>
    <w:p w14:paraId="363C8096" w14:textId="77777777" w:rsidR="00736AFE" w:rsidRDefault="00736AFE" w:rsidP="00736AFE">
      <w:pPr>
        <w:spacing w:after="96" w:line="240" w:lineRule="auto"/>
      </w:pPr>
      <w:r>
        <w:rPr>
          <w:rFonts w:ascii="Oracle Sans" w:hAnsi="Oracle Sans"/>
          <w:lang w:eastAsia="it-IT"/>
          <w14:ligatures w14:val="none"/>
        </w:rPr>
        <w:t xml:space="preserve">Per maggiori informazioni su Oracle B2B: </w:t>
      </w:r>
      <w:hyperlink r:id="rId9" w:history="1">
        <w:r>
          <w:rPr>
            <w:rStyle w:val="Collegamentoipertestuale"/>
            <w:rFonts w:ascii="Oracle Sans" w:hAnsi="Oracle Sans"/>
            <w:lang w:eastAsia="it-IT"/>
            <w14:ligatures w14:val="none"/>
          </w:rPr>
          <w:t>https://www.oracle.com/erp/b2b/</w:t>
        </w:r>
      </w:hyperlink>
    </w:p>
    <w:p w14:paraId="4A1DD694" w14:textId="77777777" w:rsidR="00736AFE" w:rsidRDefault="00736AFE" w:rsidP="00736AFE">
      <w:pPr>
        <w:spacing w:after="96" w:line="240" w:lineRule="auto"/>
        <w:jc w:val="center"/>
      </w:pPr>
      <w:r>
        <w:rPr>
          <w:rFonts w:ascii="Oracle Sans" w:hAnsi="Oracle Sans"/>
          <w:sz w:val="18"/>
          <w:szCs w:val="18"/>
          <w:lang w:eastAsia="it-IT"/>
          <w14:ligatures w14:val="none"/>
        </w:rPr>
        <w:t>#</w:t>
      </w:r>
    </w:p>
    <w:p w14:paraId="75BDCEAB" w14:textId="77777777" w:rsidR="00736AFE" w:rsidRDefault="00736AFE" w:rsidP="00736AFE">
      <w:pPr>
        <w:spacing w:after="0" w:line="240" w:lineRule="auto"/>
        <w:jc w:val="both"/>
      </w:pPr>
      <w:r>
        <w:rPr>
          <w:rFonts w:ascii="Oracle Sans" w:hAnsi="Oracle Sans"/>
          <w:b/>
          <w:bCs/>
          <w:sz w:val="18"/>
          <w:szCs w:val="18"/>
          <w:lang w:eastAsia="it-IT"/>
          <w14:ligatures w14:val="none"/>
        </w:rPr>
        <w:t>Informazioni su Oracle</w:t>
      </w:r>
    </w:p>
    <w:p w14:paraId="0DAE6D56" w14:textId="77777777" w:rsidR="00736AFE" w:rsidRDefault="00736AFE" w:rsidP="00736AFE">
      <w:pPr>
        <w:spacing w:after="0" w:line="240" w:lineRule="auto"/>
        <w:jc w:val="both"/>
      </w:pPr>
      <w:r>
        <w:rPr>
          <w:rFonts w:ascii="Oracle Sans" w:hAnsi="Oracle Sans"/>
          <w:sz w:val="18"/>
          <w:szCs w:val="18"/>
          <w:lang w:eastAsia="it-IT"/>
          <w14:ligatures w14:val="none"/>
        </w:rPr>
        <w:t>Oracle offre suite di applicazioni integrate, oltre a un'infrastruttura sicura e autonoma, in Oracle Cloud. Per ulteriori informazioni su Oracle (NYSE: ORCL), visita il nostro sito  oracle.com.</w:t>
      </w:r>
    </w:p>
    <w:p w14:paraId="77A52F6A" w14:textId="77777777" w:rsidR="00736AFE" w:rsidRDefault="00736AFE" w:rsidP="00736AFE">
      <w:pPr>
        <w:spacing w:after="0" w:line="240" w:lineRule="auto"/>
        <w:jc w:val="both"/>
      </w:pPr>
      <w:r>
        <w:rPr>
          <w:rFonts w:ascii="Oracle Sans" w:hAnsi="Oracle Sans"/>
          <w:sz w:val="18"/>
          <w:szCs w:val="18"/>
          <w:lang w:eastAsia="it-IT"/>
          <w14:ligatures w14:val="none"/>
        </w:rPr>
        <w:t> </w:t>
      </w:r>
    </w:p>
    <w:p w14:paraId="1718F809" w14:textId="77777777" w:rsidR="00736AFE" w:rsidRDefault="00736AFE" w:rsidP="00736AFE">
      <w:pPr>
        <w:spacing w:after="0" w:line="240" w:lineRule="auto"/>
        <w:jc w:val="both"/>
      </w:pPr>
      <w:r>
        <w:rPr>
          <w:rFonts w:ascii="Oracle Sans" w:hAnsi="Oracle Sans"/>
          <w:b/>
          <w:bCs/>
          <w:sz w:val="18"/>
          <w:szCs w:val="18"/>
          <w:lang w:eastAsia="it-IT"/>
          <w14:ligatures w14:val="none"/>
        </w:rPr>
        <w:t>Informazioni su Oracle CloudWorld</w:t>
      </w:r>
    </w:p>
    <w:p w14:paraId="33F034EE" w14:textId="77777777" w:rsidR="00736AFE" w:rsidRDefault="00736AFE" w:rsidP="00736AFE">
      <w:pPr>
        <w:spacing w:after="0" w:line="240" w:lineRule="auto"/>
        <w:jc w:val="both"/>
      </w:pPr>
      <w:r>
        <w:rPr>
          <w:rFonts w:ascii="Oracle Sans" w:hAnsi="Oracle Sans"/>
          <w:sz w:val="18"/>
          <w:szCs w:val="18"/>
          <w:lang w:eastAsia="it-IT"/>
          <w14:ligatures w14:val="none"/>
        </w:rPr>
        <w:t xml:space="preserve">Oracle CloudWorld è il più grande evento globale dedicato a clienti e partner di Oracle, per conoscere gli insight utili per affrontare le sfide aziendali più complesse, sviluppare competenze, conoscenze e connessioni e scoprire di più sulla infrastruttura cloud di Oracle, su database, applicazioni e strumenti per gli sviluppatori, tra cui Java, direttamente dalle persone che le creano e le utilizzano. Per la registrazione, gli interventi dal vivo, i dettagli delle sessioni, le notizie e altro ancora: </w:t>
      </w:r>
      <w:hyperlink r:id="rId10" w:history="1">
        <w:r>
          <w:rPr>
            <w:rStyle w:val="Collegamentoipertestuale"/>
            <w:rFonts w:ascii="Oracle Sans" w:hAnsi="Oracle Sans"/>
            <w:sz w:val="18"/>
            <w:szCs w:val="18"/>
            <w:lang w:eastAsia="it-IT"/>
            <w14:ligatures w14:val="none"/>
          </w:rPr>
          <w:t>https://www.oracle.com/cloudworld/</w:t>
        </w:r>
      </w:hyperlink>
      <w:r>
        <w:rPr>
          <w:rFonts w:ascii="Oracle Sans" w:hAnsi="Oracle Sans"/>
          <w:sz w:val="18"/>
          <w:szCs w:val="18"/>
          <w:lang w:eastAsia="it-IT"/>
          <w14:ligatures w14:val="none"/>
        </w:rPr>
        <w:t xml:space="preserve"> o </w:t>
      </w:r>
      <w:hyperlink r:id="rId11" w:history="1">
        <w:r>
          <w:rPr>
            <w:rStyle w:val="Collegamentoipertestuale"/>
            <w:rFonts w:ascii="Oracle Sans" w:hAnsi="Oracle Sans"/>
            <w:sz w:val="18"/>
            <w:szCs w:val="18"/>
            <w:lang w:eastAsia="it-IT"/>
            <w14:ligatures w14:val="none"/>
          </w:rPr>
          <w:t>https://www.oracle.com/news/</w:t>
        </w:r>
      </w:hyperlink>
      <w:r>
        <w:rPr>
          <w:rFonts w:ascii="Oracle Sans" w:hAnsi="Oracle Sans"/>
          <w:sz w:val="18"/>
          <w:szCs w:val="18"/>
          <w:lang w:eastAsia="it-IT"/>
          <w14:ligatures w14:val="none"/>
        </w:rPr>
        <w:t xml:space="preserve"> </w:t>
      </w:r>
    </w:p>
    <w:p w14:paraId="212B6920" w14:textId="77777777" w:rsidR="00736AFE" w:rsidRDefault="00736AFE" w:rsidP="00736AFE">
      <w:pPr>
        <w:spacing w:after="0" w:line="240" w:lineRule="auto"/>
        <w:jc w:val="both"/>
      </w:pPr>
      <w:r>
        <w:rPr>
          <w:rFonts w:ascii="Oracle Sans" w:hAnsi="Oracle Sans"/>
          <w:b/>
          <w:bCs/>
          <w:sz w:val="18"/>
          <w:szCs w:val="18"/>
          <w:lang w:eastAsia="it-IT"/>
          <w14:ligatures w14:val="none"/>
        </w:rPr>
        <w:t> </w:t>
      </w:r>
    </w:p>
    <w:p w14:paraId="196CC239" w14:textId="77777777" w:rsidR="00736AFE" w:rsidRDefault="00736AFE" w:rsidP="00736AFE">
      <w:pPr>
        <w:spacing w:after="0" w:line="240" w:lineRule="auto"/>
        <w:jc w:val="both"/>
      </w:pPr>
      <w:r>
        <w:rPr>
          <w:rFonts w:ascii="Oracle Sans" w:hAnsi="Oracle Sans"/>
          <w:b/>
          <w:bCs/>
          <w:sz w:val="18"/>
          <w:szCs w:val="18"/>
          <w:lang w:eastAsia="it-IT"/>
          <w14:ligatures w14:val="none"/>
        </w:rPr>
        <w:t>Marchi registrati</w:t>
      </w:r>
    </w:p>
    <w:p w14:paraId="7C63D720" w14:textId="77777777" w:rsidR="00736AFE" w:rsidRDefault="00736AFE" w:rsidP="00736AFE">
      <w:pPr>
        <w:spacing w:after="0" w:line="240" w:lineRule="auto"/>
        <w:jc w:val="both"/>
      </w:pPr>
      <w:r>
        <w:rPr>
          <w:rFonts w:ascii="Oracle Sans" w:hAnsi="Oracle Sans"/>
          <w:sz w:val="18"/>
          <w:szCs w:val="18"/>
          <w:lang w:eastAsia="it-IT"/>
          <w14:ligatures w14:val="none"/>
        </w:rPr>
        <w:t xml:space="preserve">Oracle, Java, MySQL e NetSuite sono marchi registrati di Oracle Corporation. NetSuite è la cloud company che ha inaugurato la nuova era del cloud computing. </w:t>
      </w:r>
    </w:p>
    <w:p w14:paraId="1D40DF56" w14:textId="77777777" w:rsidR="00736AFE" w:rsidRDefault="00736AFE" w:rsidP="00736AFE">
      <w:pPr>
        <w:spacing w:after="0" w:line="240" w:lineRule="auto"/>
        <w:jc w:val="both"/>
      </w:pPr>
      <w:r>
        <w:rPr>
          <w:rFonts w:ascii="Oracle Sans" w:hAnsi="Oracle Sans"/>
          <w:sz w:val="18"/>
          <w:szCs w:val="18"/>
          <w:lang w:eastAsia="it-IT"/>
          <w14:ligatures w14:val="none"/>
        </w:rPr>
        <w:t> </w:t>
      </w:r>
    </w:p>
    <w:p w14:paraId="5CC4B1B2" w14:textId="77777777" w:rsidR="00736AFE" w:rsidRDefault="00736AFE" w:rsidP="00736AFE">
      <w:pPr>
        <w:spacing w:after="0" w:line="240" w:lineRule="auto"/>
        <w:jc w:val="both"/>
      </w:pPr>
      <w:r>
        <w:rPr>
          <w:rFonts w:ascii="Oracle Sans" w:hAnsi="Oracle Sans"/>
          <w:b/>
          <w:bCs/>
          <w:sz w:val="18"/>
          <w:szCs w:val="18"/>
          <w:lang w:eastAsia="it-IT"/>
          <w14:ligatures w14:val="none"/>
        </w:rPr>
        <w:t>Contatti per i media</w:t>
      </w:r>
    </w:p>
    <w:p w14:paraId="00E1D023" w14:textId="77777777" w:rsidR="00736AFE" w:rsidRDefault="00736AFE" w:rsidP="00736AFE">
      <w:pPr>
        <w:spacing w:after="0" w:line="240" w:lineRule="auto"/>
        <w:jc w:val="both"/>
      </w:pPr>
      <w:r>
        <w:rPr>
          <w:rFonts w:ascii="Oracle Sans" w:hAnsi="Oracle Sans"/>
          <w:sz w:val="18"/>
          <w:szCs w:val="18"/>
          <w:lang w:eastAsia="it-IT"/>
          <w14:ligatures w14:val="none"/>
        </w:rPr>
        <w:t xml:space="preserve">Simona Menghini, ORACLE Italia: cell. 342-6989617 </w:t>
      </w:r>
      <w:hyperlink r:id="rId12" w:history="1">
        <w:r>
          <w:rPr>
            <w:rStyle w:val="Collegamentoipertestuale"/>
            <w:rFonts w:ascii="Oracle Sans" w:hAnsi="Oracle Sans"/>
            <w:sz w:val="18"/>
            <w:szCs w:val="18"/>
            <w:lang w:eastAsia="it-IT"/>
            <w14:ligatures w14:val="none"/>
          </w:rPr>
          <w:t>simona.menghini@oracle.com</w:t>
        </w:r>
      </w:hyperlink>
    </w:p>
    <w:p w14:paraId="71FA735A" w14:textId="77777777" w:rsidR="00736AFE" w:rsidRDefault="00736AFE" w:rsidP="00736AFE">
      <w:pPr>
        <w:spacing w:after="0" w:line="240" w:lineRule="auto"/>
        <w:jc w:val="both"/>
      </w:pPr>
      <w:r>
        <w:rPr>
          <w:rFonts w:ascii="Oracle Sans" w:hAnsi="Oracle Sans"/>
          <w:sz w:val="18"/>
          <w:szCs w:val="18"/>
          <w:lang w:eastAsia="it-IT"/>
          <w14:ligatures w14:val="none"/>
        </w:rPr>
        <w:t xml:space="preserve">Prima Pagina Comunicazione: Caterina Ferrara, Viviana Viviani, Ivonne Carpinelli - 0291339.811 </w:t>
      </w:r>
      <w:hyperlink r:id="rId13" w:history="1">
        <w:r>
          <w:rPr>
            <w:rStyle w:val="Collegamentoipertestuale"/>
            <w:rFonts w:ascii="Oracle Sans" w:hAnsi="Oracle Sans"/>
            <w:sz w:val="18"/>
            <w:szCs w:val="18"/>
            <w:lang w:eastAsia="it-IT"/>
            <w14:ligatures w14:val="none"/>
          </w:rPr>
          <w:t>team.oracle@primapagina.it</w:t>
        </w:r>
      </w:hyperlink>
    </w:p>
    <w:p w14:paraId="795E5EF0" w14:textId="77777777" w:rsidR="00FD511D" w:rsidRDefault="00FD511D"/>
    <w:sectPr w:rsidR="00FD51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racle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DB4"/>
    <w:multiLevelType w:val="hybridMultilevel"/>
    <w:tmpl w:val="47284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89429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FE"/>
    <w:rsid w:val="00736AFE"/>
    <w:rsid w:val="00FD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402E"/>
  <w15:chartTrackingRefBased/>
  <w15:docId w15:val="{4FCD6CA1-6D7A-4CD0-8960-7DF59DC3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6AFE"/>
    <w:pPr>
      <w:spacing w:line="252" w:lineRule="auto"/>
    </w:pPr>
    <w:rPr>
      <w:rFonts w:ascii="Calibri" w:hAnsi="Calibri" w:cs="Calibri"/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36AFE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736AFE"/>
    <w:pPr>
      <w:ind w:left="720"/>
      <w:contextualSpacing/>
    </w:pPr>
  </w:style>
  <w:style w:type="paragraph" w:customStyle="1" w:styleId="P68B1DB1-Normal1">
    <w:name w:val="P68B1DB1-Normal1"/>
    <w:basedOn w:val="Normale"/>
    <w:rsid w:val="00736AFE"/>
    <w:pPr>
      <w:spacing w:after="0" w:line="240" w:lineRule="auto"/>
    </w:pPr>
    <w:rPr>
      <w:rFonts w:ascii="Oracle Sans" w:hAnsi="Oracle Sans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7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acle.com/erp/" TargetMode="External"/><Relationship Id="rId13" Type="http://schemas.openxmlformats.org/officeDocument/2006/relationships/hyperlink" Target="mailto:team.oracle@primapagina.it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9FC44.B774A170" TargetMode="External"/><Relationship Id="rId12" Type="http://schemas.openxmlformats.org/officeDocument/2006/relationships/hyperlink" Target="mailto:simona.menghini@orac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oracle.com/news/" TargetMode="External"/><Relationship Id="rId5" Type="http://schemas.openxmlformats.org/officeDocument/2006/relationships/hyperlink" Target="https://www.oracle.com/index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oracle.com/cloudworl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acle.com/erp/b2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979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Carpinelli</dc:creator>
  <cp:keywords/>
  <dc:description/>
  <cp:lastModifiedBy>Ivonne Carpinelli</cp:lastModifiedBy>
  <cp:revision>1</cp:revision>
  <dcterms:created xsi:type="dcterms:W3CDTF">2023-10-12T07:18:00Z</dcterms:created>
  <dcterms:modified xsi:type="dcterms:W3CDTF">2023-10-12T07:19:00Z</dcterms:modified>
</cp:coreProperties>
</file>