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C93B" w14:textId="02703DF4" w:rsidR="001E1441" w:rsidRDefault="001E1441" w:rsidP="001E1441">
      <w:pPr>
        <w:rPr>
          <w:b/>
          <w:bCs/>
          <w:sz w:val="20"/>
          <w:szCs w:val="20"/>
          <w:shd w:val="clear" w:color="auto" w:fill="FFFFFF"/>
        </w:rPr>
      </w:pPr>
      <w:r>
        <w:rPr>
          <w:rFonts w:ascii="Oracle Sans" w:hAnsi="Oracle Sans"/>
          <w:noProof/>
          <w:lang w:val="en-US"/>
        </w:rPr>
        <w:drawing>
          <wp:inline distT="0" distB="0" distL="0" distR="0" wp14:anchorId="3167B558" wp14:editId="5877AE8D">
            <wp:extent cx="1163955" cy="228600"/>
            <wp:effectExtent l="0" t="0" r="17145" b="0"/>
            <wp:docPr id="71422288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  <w:shd w:val="clear" w:color="auto" w:fill="FFFFFF"/>
        </w:rPr>
        <w:t>Comunicato stampa</w:t>
      </w:r>
    </w:p>
    <w:p w14:paraId="36C8DB96" w14:textId="77777777" w:rsidR="001E1441" w:rsidRDefault="001E1441" w:rsidP="001E1441">
      <w:pPr>
        <w:rPr>
          <w:rFonts w:ascii="Oracle Sans" w:hAnsi="Oracle Sans"/>
          <w:b/>
          <w:bCs/>
          <w:sz w:val="28"/>
          <w:szCs w:val="28"/>
          <w:shd w:val="clear" w:color="auto" w:fill="FFFFFF"/>
        </w:rPr>
      </w:pPr>
    </w:p>
    <w:p w14:paraId="529CECC5" w14:textId="77777777" w:rsidR="001E1441" w:rsidRDefault="001E1441" w:rsidP="001E1441">
      <w:pPr>
        <w:jc w:val="center"/>
        <w:rPr>
          <w:rFonts w:ascii="Oracle Sans" w:hAnsi="Oracle San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Oracle Sans" w:hAnsi="Oracle Sans"/>
          <w:b/>
          <w:bCs/>
          <w:color w:val="000000"/>
          <w:sz w:val="28"/>
          <w:szCs w:val="28"/>
          <w:shd w:val="clear" w:color="auto" w:fill="FFFFFF"/>
        </w:rPr>
        <w:t>Oracle aiuta le organizzazioni a raggiungere i massimi livelli di scalabilità e disponibilità e a soddisfare i requisiti di sovranità dei dati</w:t>
      </w:r>
    </w:p>
    <w:p w14:paraId="69343541" w14:textId="77777777" w:rsidR="001E1441" w:rsidRDefault="001E1441" w:rsidP="001E1441">
      <w:pPr>
        <w:jc w:val="center"/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</w:pPr>
    </w:p>
    <w:p w14:paraId="12EBE9D7" w14:textId="77777777" w:rsidR="001E1441" w:rsidRDefault="001E1441" w:rsidP="001E1441">
      <w:pPr>
        <w:jc w:val="center"/>
        <w:rPr>
          <w:rFonts w:ascii="Oracle Sans" w:hAnsi="Oracle Sans"/>
          <w:color w:val="000000"/>
          <w:shd w:val="clear" w:color="auto" w:fill="FFFFFF"/>
        </w:rPr>
      </w:pPr>
      <w:r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  <w:t>Con il nuovo Oracle ‘</w:t>
      </w:r>
      <w:proofErr w:type="spellStart"/>
      <w:r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  <w:t>Globally</w:t>
      </w:r>
      <w:proofErr w:type="spellEnd"/>
      <w:r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  <w:t xml:space="preserve"> Distributed </w:t>
      </w:r>
      <w:proofErr w:type="spellStart"/>
      <w:r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  <w:t>Autonomous</w:t>
      </w:r>
      <w:proofErr w:type="spellEnd"/>
      <w:r>
        <w:rPr>
          <w:rFonts w:ascii="Oracle Sans" w:hAnsi="Oracle Sans"/>
          <w:i/>
          <w:iCs/>
          <w:color w:val="000000"/>
          <w:sz w:val="24"/>
          <w:szCs w:val="24"/>
          <w:shd w:val="clear" w:color="auto" w:fill="FFFFFF"/>
        </w:rPr>
        <w:t xml:space="preserve"> Database’, alimentato da intelligenza artificiale (AI) e machine learning (ML), i grandi clienti possono eliminare la complessità operativa e i costi di gestire database distribuiti su tante sedi fisiche nel mondo</w:t>
      </w:r>
    </w:p>
    <w:p w14:paraId="7F768DCE" w14:textId="77777777" w:rsidR="001E1441" w:rsidRDefault="001E1441" w:rsidP="001E1441">
      <w:pPr>
        <w:rPr>
          <w:rFonts w:ascii="Oracle Sans" w:hAnsi="Oracle Sans"/>
          <w:color w:val="000000"/>
          <w:shd w:val="clear" w:color="auto" w:fill="FFFFFF"/>
        </w:rPr>
      </w:pPr>
    </w:p>
    <w:p w14:paraId="022B1A97" w14:textId="77777777" w:rsidR="001E1441" w:rsidRDefault="001E1441" w:rsidP="001E1441">
      <w:pPr>
        <w:rPr>
          <w:rFonts w:ascii="Oracle Sans" w:hAnsi="Oracle Sans"/>
          <w:color w:val="000000"/>
          <w:shd w:val="clear" w:color="auto" w:fill="FFFFFF"/>
        </w:rPr>
      </w:pPr>
      <w:r>
        <w:rPr>
          <w:rFonts w:ascii="Oracle Sans" w:hAnsi="Oracle Sans"/>
          <w:b/>
          <w:bCs/>
          <w:color w:val="000000"/>
          <w:shd w:val="clear" w:color="auto" w:fill="FFFFFF"/>
        </w:rPr>
        <w:t>Austin (USA)/Milano, 4 marzo 2024</w:t>
      </w:r>
      <w:r>
        <w:rPr>
          <w:rFonts w:ascii="Oracle Sans" w:hAnsi="Oracle Sans"/>
          <w:color w:val="000000"/>
          <w:shd w:val="clear" w:color="auto" w:fill="FFFFFF"/>
        </w:rPr>
        <w:t xml:space="preserve"> - Oracle ha annunciato la disponibilità generale di </w:t>
      </w:r>
      <w:hyperlink r:id="rId9" w:history="1">
        <w:r>
          <w:rPr>
            <w:rStyle w:val="Collegamentoipertestuale"/>
            <w:rFonts w:ascii="Oracle Sans" w:hAnsi="Oracle Sans"/>
            <w:b/>
            <w:bCs/>
            <w:shd w:val="clear" w:color="auto" w:fill="FFFFFF"/>
          </w:rPr>
          <w:t xml:space="preserve">Oracle </w:t>
        </w:r>
        <w:proofErr w:type="spellStart"/>
        <w:r>
          <w:rPr>
            <w:rStyle w:val="Collegamentoipertestuale"/>
            <w:rFonts w:ascii="Oracle Sans" w:hAnsi="Oracle Sans"/>
            <w:b/>
            <w:bCs/>
            <w:shd w:val="clear" w:color="auto" w:fill="FFFFFF"/>
          </w:rPr>
          <w:t>Globally</w:t>
        </w:r>
        <w:proofErr w:type="spellEnd"/>
        <w:r>
          <w:rPr>
            <w:rStyle w:val="Collegamentoipertestuale"/>
            <w:rFonts w:ascii="Oracle Sans" w:hAnsi="Oracle Sans"/>
            <w:b/>
            <w:bCs/>
            <w:shd w:val="clear" w:color="auto" w:fill="FFFFFF"/>
          </w:rPr>
          <w:t xml:space="preserve"> Distributed </w:t>
        </w:r>
        <w:proofErr w:type="spellStart"/>
        <w:r>
          <w:rPr>
            <w:rStyle w:val="Collegamentoipertestuale"/>
            <w:rFonts w:ascii="Oracle Sans" w:hAnsi="Oracle Sans"/>
            <w:b/>
            <w:bCs/>
            <w:shd w:val="clear" w:color="auto" w:fill="FFFFFF"/>
          </w:rPr>
          <w:t>Autonomous</w:t>
        </w:r>
        <w:proofErr w:type="spellEnd"/>
        <w:r>
          <w:rPr>
            <w:rStyle w:val="Collegamentoipertestuale"/>
            <w:rFonts w:ascii="Oracle Sans" w:hAnsi="Oracle Sans"/>
            <w:b/>
            <w:bCs/>
            <w:shd w:val="clear" w:color="auto" w:fill="FFFFFF"/>
          </w:rPr>
          <w:t xml:space="preserve"> Database</w:t>
        </w:r>
      </w:hyperlink>
      <w:r>
        <w:rPr>
          <w:rFonts w:ascii="Oracle Sans" w:hAnsi="Oracle Sans"/>
          <w:color w:val="000000"/>
          <w:shd w:val="clear" w:color="auto" w:fill="FFFFFF"/>
        </w:rPr>
        <w:t>. Basato sulla comprovata tecnologia di “</w:t>
      </w:r>
      <w:proofErr w:type="spellStart"/>
      <w:r>
        <w:rPr>
          <w:rFonts w:ascii="Oracle Sans" w:hAnsi="Oracle Sans"/>
          <w:b/>
          <w:bCs/>
          <w:color w:val="000000"/>
          <w:shd w:val="clear" w:color="auto" w:fill="FFFFFF"/>
        </w:rPr>
        <w:t>sharding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” (ovvero, il partizionamento del database) di Oracle,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Globally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Distributed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Autonomous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Database offre i vantaggi di </w:t>
      </w:r>
      <w:hyperlink r:id="rId10" w:history="1"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Oracle </w:t>
        </w:r>
        <w:proofErr w:type="spellStart"/>
        <w:r>
          <w:rPr>
            <w:rStyle w:val="Collegamentoipertestuale"/>
            <w:rFonts w:ascii="Oracle Sans" w:hAnsi="Oracle Sans"/>
            <w:shd w:val="clear" w:color="auto" w:fill="FFFFFF"/>
          </w:rPr>
          <w:t>Autonomous</w:t>
        </w:r>
        <w:proofErr w:type="spellEnd"/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 Database</w:t>
        </w:r>
      </w:hyperlink>
      <w:r>
        <w:rPr>
          <w:rFonts w:ascii="Oracle Sans" w:hAnsi="Oracle Sans"/>
          <w:color w:val="000000"/>
          <w:shd w:val="clear" w:color="auto" w:fill="FFFFFF"/>
        </w:rPr>
        <w:t xml:space="preserve"> e al tempo stesso permette ai clienti globali di controllare le proprie politiche di distribuzione e localizzazione dei dati. Ciò consente alle grandi organizzazioni di distribuire e memorizzare automaticamente in cloud i propri dati in tutto il mondo, in molte sedi fisiche, e in modo trasparente per le applicazioni che li utilizzano. Con questo approccio, i clienti globali possono ottenere i massimi livelli possibili di scalabilità e disponibilità, soddisfare i requisiti di sovranità dei dati e avvalersi di una gestione autonoma dell’operatività locale, riducendo significativamente i costi. </w:t>
      </w:r>
    </w:p>
    <w:p w14:paraId="4AA7C4FB" w14:textId="77777777" w:rsidR="001E1441" w:rsidRDefault="001E1441" w:rsidP="001E1441">
      <w:pPr>
        <w:rPr>
          <w:rFonts w:ascii="Oracle Sans" w:hAnsi="Oracle Sans"/>
          <w:color w:val="000000"/>
          <w:shd w:val="clear" w:color="auto" w:fill="FFFFFF"/>
        </w:rPr>
      </w:pPr>
    </w:p>
    <w:p w14:paraId="213CBEE2" w14:textId="77777777" w:rsidR="001E1441" w:rsidRDefault="001E1441" w:rsidP="001E1441">
      <w:pPr>
        <w:rPr>
          <w:rFonts w:ascii="Oracle Sans" w:hAnsi="Oracle Sans"/>
          <w:color w:val="000000"/>
          <w:shd w:val="clear" w:color="auto" w:fill="FFFFFF"/>
        </w:rPr>
      </w:pPr>
      <w:r>
        <w:rPr>
          <w:rFonts w:ascii="Oracle Sans" w:hAnsi="Oracle Sans"/>
          <w:color w:val="000000"/>
          <w:shd w:val="clear" w:color="auto" w:fill="FFFFFF"/>
        </w:rPr>
        <w:t>Essendo un database convergente completo in cloud (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NdR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offre la possibilità di usare tante tipologie diverse di dati e di query),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Globally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Distributed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Autonomous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Database semplifica lo sviluppo e l'utilizzo di database distribuiti per applicazioni </w:t>
      </w:r>
      <w:r>
        <w:rPr>
          <w:rFonts w:ascii="Oracle Sans" w:hAnsi="Oracle Sans"/>
          <w:i/>
          <w:iCs/>
          <w:color w:val="000000"/>
          <w:shd w:val="clear" w:color="auto" w:fill="FFFFFF"/>
        </w:rPr>
        <w:t>mission-</w:t>
      </w:r>
      <w:proofErr w:type="spellStart"/>
      <w:r>
        <w:rPr>
          <w:rFonts w:ascii="Oracle Sans" w:hAnsi="Oracle Sans"/>
          <w:i/>
          <w:iCs/>
          <w:color w:val="000000"/>
          <w:shd w:val="clear" w:color="auto" w:fill="FFFFFF"/>
        </w:rPr>
        <w:t>critical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, supportando praticamente qualsiasi tipo di dato, carico di lavoro e modalità di programmazione su larga scala. Anche le applicazioni SQL esistenti possono utilizzare i database distribuiti senza dover essere riscritte. Per soddisfare le esigenze di ogni applicazione, Oracle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Globally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Distributed </w:t>
      </w:r>
      <w:proofErr w:type="spellStart"/>
      <w:r>
        <w:rPr>
          <w:rFonts w:ascii="Oracle Sans" w:hAnsi="Oracle Sans"/>
          <w:color w:val="000000"/>
          <w:shd w:val="clear" w:color="auto" w:fill="FFFFFF"/>
        </w:rPr>
        <w:t>Autonomous</w:t>
      </w:r>
      <w:proofErr w:type="spellEnd"/>
      <w:r>
        <w:rPr>
          <w:rFonts w:ascii="Oracle Sans" w:hAnsi="Oracle Sans"/>
          <w:color w:val="000000"/>
          <w:shd w:val="clear" w:color="auto" w:fill="FFFFFF"/>
        </w:rPr>
        <w:t xml:space="preserve"> Database supporta un maggior numero di metodi di distribuzione, replica e </w:t>
      </w:r>
      <w:r>
        <w:rPr>
          <w:rFonts w:ascii="Oracle Sans" w:hAnsi="Oracle Sans"/>
          <w:i/>
          <w:iCs/>
          <w:color w:val="000000"/>
          <w:shd w:val="clear" w:color="auto" w:fill="FFFFFF"/>
        </w:rPr>
        <w:t>deployment</w:t>
      </w:r>
      <w:r>
        <w:rPr>
          <w:rFonts w:ascii="Oracle Sans" w:hAnsi="Oracle Sans"/>
          <w:color w:val="000000"/>
          <w:shd w:val="clear" w:color="auto" w:fill="FFFFFF"/>
        </w:rPr>
        <w:t xml:space="preserve"> dei dati rispetto ad altri tipi di database distribuiti.</w:t>
      </w:r>
    </w:p>
    <w:p w14:paraId="3273AB96" w14:textId="77777777" w:rsidR="001E1441" w:rsidRDefault="001E1441" w:rsidP="001E1441">
      <w:pPr>
        <w:rPr>
          <w:rFonts w:ascii="Oracle Sans" w:hAnsi="Oracle Sans"/>
        </w:rPr>
      </w:pPr>
    </w:p>
    <w:p w14:paraId="1A8A57E9" w14:textId="77777777" w:rsidR="001E1441" w:rsidRDefault="001E1441" w:rsidP="001E1441">
      <w:pPr>
        <w:rPr>
          <w:rFonts w:ascii="Oracle Sans" w:hAnsi="Oracle Sans"/>
        </w:rPr>
      </w:pPr>
      <w:r>
        <w:rPr>
          <w:rFonts w:ascii="Oracle Sans" w:hAnsi="Oracle Sans"/>
        </w:rPr>
        <w:t>"</w:t>
      </w:r>
      <w:r>
        <w:rPr>
          <w:rFonts w:ascii="Oracle Sans" w:hAnsi="Oracle Sans"/>
          <w:i/>
          <w:iCs/>
        </w:rPr>
        <w:t>Le organizzazioni che operano a livello globale hanno esigenze applicative specifiche in termini di sovranità, scalabilità e disponibilità dei dati, che possono variare da un continente all'altro e da un Paese all'altro. Queste esigenze possono essere soddisfatte da un'architettura di database distribuito mission-</w:t>
      </w:r>
      <w:proofErr w:type="spellStart"/>
      <w:r>
        <w:rPr>
          <w:rFonts w:ascii="Oracle Sans" w:hAnsi="Oracle Sans"/>
          <w:i/>
          <w:iCs/>
        </w:rPr>
        <w:t>critical</w:t>
      </w:r>
      <w:proofErr w:type="spellEnd"/>
      <w:r>
        <w:rPr>
          <w:rFonts w:ascii="Oracle Sans" w:hAnsi="Oracle Sans"/>
          <w:i/>
          <w:iCs/>
        </w:rPr>
        <w:t xml:space="preserve"> in grado di supportare una distribuzione globale</w:t>
      </w:r>
      <w:r>
        <w:rPr>
          <w:rFonts w:ascii="Oracle Sans" w:hAnsi="Oracle Sans"/>
        </w:rPr>
        <w:t xml:space="preserve">", ha dichiarato </w:t>
      </w:r>
      <w:r>
        <w:rPr>
          <w:rFonts w:ascii="Oracle Sans" w:hAnsi="Oracle Sans"/>
          <w:b/>
          <w:bCs/>
        </w:rPr>
        <w:t xml:space="preserve">Juan </w:t>
      </w:r>
      <w:proofErr w:type="spellStart"/>
      <w:r>
        <w:rPr>
          <w:rFonts w:ascii="Oracle Sans" w:hAnsi="Oracle Sans"/>
          <w:b/>
          <w:bCs/>
        </w:rPr>
        <w:t>Loaiza</w:t>
      </w:r>
      <w:proofErr w:type="spellEnd"/>
      <w:r>
        <w:rPr>
          <w:rFonts w:ascii="Oracle Sans" w:hAnsi="Oracle Sans"/>
          <w:b/>
          <w:bCs/>
        </w:rPr>
        <w:t xml:space="preserve">, executive vice </w:t>
      </w:r>
      <w:proofErr w:type="spellStart"/>
      <w:r>
        <w:rPr>
          <w:rFonts w:ascii="Oracle Sans" w:hAnsi="Oracle Sans"/>
          <w:b/>
          <w:bCs/>
        </w:rPr>
        <w:t>president</w:t>
      </w:r>
      <w:proofErr w:type="spellEnd"/>
      <w:r>
        <w:rPr>
          <w:rFonts w:ascii="Oracle Sans" w:hAnsi="Oracle Sans"/>
          <w:b/>
          <w:bCs/>
        </w:rPr>
        <w:t>, Mission-Critical Database Technologies, Oracle</w:t>
      </w:r>
      <w:r>
        <w:rPr>
          <w:rFonts w:ascii="Oracle Sans" w:hAnsi="Oracle Sans"/>
        </w:rPr>
        <w:t>. "</w:t>
      </w:r>
      <w:r>
        <w:rPr>
          <w:rFonts w:ascii="Oracle Sans" w:hAnsi="Oracle Sans"/>
          <w:i/>
          <w:iCs/>
        </w:rPr>
        <w:t xml:space="preserve">Il nostro nuovo </w:t>
      </w:r>
      <w:proofErr w:type="spellStart"/>
      <w:r>
        <w:rPr>
          <w:rFonts w:ascii="Oracle Sans" w:hAnsi="Oracle Sans"/>
          <w:i/>
          <w:iCs/>
        </w:rPr>
        <w:t>Globally</w:t>
      </w:r>
      <w:proofErr w:type="spellEnd"/>
      <w:r>
        <w:rPr>
          <w:rFonts w:ascii="Oracle Sans" w:hAnsi="Oracle Sans"/>
          <w:i/>
          <w:iCs/>
        </w:rPr>
        <w:t xml:space="preserve"> Distributed </w:t>
      </w:r>
      <w:proofErr w:type="spellStart"/>
      <w:r>
        <w:rPr>
          <w:rFonts w:ascii="Oracle Sans" w:hAnsi="Oracle Sans"/>
          <w:i/>
          <w:iCs/>
        </w:rPr>
        <w:t>Autonomous</w:t>
      </w:r>
      <w:proofErr w:type="spellEnd"/>
      <w:r>
        <w:rPr>
          <w:rFonts w:ascii="Oracle Sans" w:hAnsi="Oracle Sans"/>
          <w:i/>
          <w:iCs/>
        </w:rPr>
        <w:t xml:space="preserve"> Database risponde a questa esigenza e consente ai clienti di sfruttare un'architettura </w:t>
      </w:r>
      <w:proofErr w:type="spellStart"/>
      <w:r>
        <w:rPr>
          <w:rFonts w:ascii="Oracle Sans" w:hAnsi="Oracle Sans"/>
          <w:i/>
          <w:iCs/>
        </w:rPr>
        <w:t>serverless</w:t>
      </w:r>
      <w:proofErr w:type="spellEnd"/>
      <w:r>
        <w:rPr>
          <w:rFonts w:ascii="Oracle Sans" w:hAnsi="Oracle Sans"/>
          <w:i/>
          <w:iCs/>
        </w:rPr>
        <w:t xml:space="preserve">, elastica e ‘auto-scalante’ per ridurre drasticamente i costi. Grazie alle sue funzionalità come database convergente, l’Oracle </w:t>
      </w:r>
      <w:proofErr w:type="spellStart"/>
      <w:r>
        <w:rPr>
          <w:rFonts w:ascii="Oracle Sans" w:hAnsi="Oracle Sans"/>
          <w:i/>
          <w:iCs/>
        </w:rPr>
        <w:t>Globally</w:t>
      </w:r>
      <w:proofErr w:type="spellEnd"/>
      <w:r>
        <w:rPr>
          <w:rFonts w:ascii="Oracle Sans" w:hAnsi="Oracle Sans"/>
          <w:i/>
          <w:iCs/>
        </w:rPr>
        <w:t xml:space="preserve"> Distributed </w:t>
      </w:r>
      <w:proofErr w:type="spellStart"/>
      <w:r>
        <w:rPr>
          <w:rFonts w:ascii="Oracle Sans" w:hAnsi="Oracle Sans"/>
          <w:i/>
          <w:iCs/>
        </w:rPr>
        <w:t>Autonomous</w:t>
      </w:r>
      <w:proofErr w:type="spellEnd"/>
      <w:r>
        <w:rPr>
          <w:rFonts w:ascii="Oracle Sans" w:hAnsi="Oracle Sans"/>
          <w:i/>
          <w:iCs/>
        </w:rPr>
        <w:t xml:space="preserve"> Database è il servizio cloud database distribuito più semplice, funzionale e mission-</w:t>
      </w:r>
      <w:proofErr w:type="spellStart"/>
      <w:r>
        <w:rPr>
          <w:rFonts w:ascii="Oracle Sans" w:hAnsi="Oracle Sans"/>
          <w:i/>
          <w:iCs/>
        </w:rPr>
        <w:t>critical</w:t>
      </w:r>
      <w:proofErr w:type="spellEnd"/>
      <w:r>
        <w:rPr>
          <w:rFonts w:ascii="Oracle Sans" w:hAnsi="Oracle Sans"/>
          <w:i/>
          <w:iCs/>
        </w:rPr>
        <w:t xml:space="preserve"> al mondo</w:t>
      </w:r>
      <w:r>
        <w:rPr>
          <w:rFonts w:ascii="Oracle Sans" w:hAnsi="Oracle Sans"/>
        </w:rPr>
        <w:t xml:space="preserve">". </w:t>
      </w:r>
    </w:p>
    <w:p w14:paraId="485B44E2" w14:textId="77777777" w:rsidR="001E1441" w:rsidRDefault="001E1441" w:rsidP="001E1441">
      <w:pPr>
        <w:rPr>
          <w:rFonts w:ascii="Oracle Sans" w:hAnsi="Oracle Sans"/>
        </w:rPr>
      </w:pPr>
    </w:p>
    <w:p w14:paraId="706E77A0" w14:textId="77777777" w:rsidR="001E1441" w:rsidRDefault="001E1441" w:rsidP="001E1441">
      <w:pPr>
        <w:rPr>
          <w:rFonts w:ascii="Oracle Sans" w:hAnsi="Oracle Sans"/>
        </w:rPr>
      </w:pPr>
      <w:r>
        <w:rPr>
          <w:rFonts w:ascii="Oracle Sans" w:hAnsi="Oracle Sans"/>
        </w:rPr>
        <w:t xml:space="preserve">I database distribuiti possono essere difficili da implementare e gestire a causa dell'elevato numero di server distribuiti su più sedi. </w:t>
      </w:r>
      <w:proofErr w:type="spellStart"/>
      <w:r>
        <w:rPr>
          <w:rFonts w:ascii="Oracle Sans" w:hAnsi="Oracle Sans"/>
        </w:rPr>
        <w:t>Globally</w:t>
      </w:r>
      <w:proofErr w:type="spellEnd"/>
      <w:r>
        <w:rPr>
          <w:rFonts w:ascii="Oracle Sans" w:hAnsi="Oracle Sans"/>
        </w:rPr>
        <w:t xml:space="preserve"> Distributed </w:t>
      </w:r>
      <w:proofErr w:type="spellStart"/>
      <w:r>
        <w:rPr>
          <w:rFonts w:ascii="Oracle Sans" w:hAnsi="Oracle Sans"/>
        </w:rPr>
        <w:t>Autonomous</w:t>
      </w:r>
      <w:proofErr w:type="spellEnd"/>
      <w:r>
        <w:rPr>
          <w:rFonts w:ascii="Oracle Sans" w:hAnsi="Oracle Sans"/>
        </w:rPr>
        <w:t xml:space="preserve"> Database elimina questa complessità utilizzando ed estendendo l'automazione guidata da AI e ML di </w:t>
      </w:r>
      <w:proofErr w:type="spellStart"/>
      <w:r>
        <w:rPr>
          <w:rFonts w:ascii="Oracle Sans" w:hAnsi="Oracle Sans"/>
        </w:rPr>
        <w:t>Autonomous</w:t>
      </w:r>
      <w:proofErr w:type="spellEnd"/>
      <w:r>
        <w:rPr>
          <w:rFonts w:ascii="Oracle Sans" w:hAnsi="Oracle Sans"/>
        </w:rPr>
        <w:t xml:space="preserve"> Database con la distribuzione automatica dei dati e la gestione degli </w:t>
      </w:r>
      <w:proofErr w:type="spellStart"/>
      <w:r>
        <w:rPr>
          <w:rFonts w:ascii="Oracle Sans" w:hAnsi="Oracle Sans"/>
          <w:i/>
          <w:iCs/>
        </w:rPr>
        <w:t>shard</w:t>
      </w:r>
      <w:proofErr w:type="spellEnd"/>
      <w:r>
        <w:rPr>
          <w:rFonts w:ascii="Oracle Sans" w:hAnsi="Oracle Sans"/>
        </w:rPr>
        <w:t xml:space="preserve">. Gli amministratori possono gestire il database distribuito come un unico database logico e utilizzare funzionalità automatizzate di </w:t>
      </w:r>
      <w:r>
        <w:rPr>
          <w:rFonts w:ascii="Oracle Sans" w:hAnsi="Oracle Sans"/>
          <w:i/>
          <w:iCs/>
        </w:rPr>
        <w:t xml:space="preserve">provisioning, tuning, scaling, </w:t>
      </w:r>
      <w:proofErr w:type="spellStart"/>
      <w:r>
        <w:rPr>
          <w:rFonts w:ascii="Oracle Sans" w:hAnsi="Oracle Sans"/>
          <w:i/>
          <w:iCs/>
        </w:rPr>
        <w:t>patching</w:t>
      </w:r>
      <w:proofErr w:type="spellEnd"/>
      <w:r>
        <w:rPr>
          <w:rFonts w:ascii="Oracle Sans" w:hAnsi="Oracle Sans"/>
        </w:rPr>
        <w:t xml:space="preserve"> e sicurezza per evitare attività manuali che richiedono molto tempo e potenziali errori. Inoltre, la scalabilità automatica del database per singolo </w:t>
      </w:r>
      <w:proofErr w:type="spellStart"/>
      <w:r>
        <w:rPr>
          <w:rFonts w:ascii="Oracle Sans" w:hAnsi="Oracle Sans"/>
          <w:i/>
          <w:iCs/>
        </w:rPr>
        <w:t>shard</w:t>
      </w:r>
      <w:proofErr w:type="spellEnd"/>
      <w:r>
        <w:rPr>
          <w:rFonts w:ascii="Oracle Sans" w:hAnsi="Oracle Sans"/>
        </w:rPr>
        <w:t xml:space="preserve"> consente ai clienti di aumentare e diminuire le risorse utilizzate in cloud per soddisfare la domanda e ridurre al minimo i consumi e i costi.</w:t>
      </w:r>
    </w:p>
    <w:p w14:paraId="58F03A0C" w14:textId="77777777" w:rsidR="001E1441" w:rsidRDefault="001E1441" w:rsidP="001E1441">
      <w:pPr>
        <w:rPr>
          <w:rFonts w:ascii="Oracle Sans" w:hAnsi="Oracle Sans"/>
        </w:rPr>
      </w:pPr>
    </w:p>
    <w:p w14:paraId="12EFC131" w14:textId="77777777" w:rsidR="001E1441" w:rsidRDefault="001E1441" w:rsidP="001E1441">
      <w:pPr>
        <w:rPr>
          <w:rFonts w:ascii="Oracle Sans" w:hAnsi="Oracle Sans"/>
          <w:b/>
          <w:bCs/>
        </w:rPr>
      </w:pPr>
      <w:r>
        <w:rPr>
          <w:rFonts w:ascii="Oracle Sans" w:hAnsi="Oracle Sans"/>
          <w:b/>
          <w:bCs/>
        </w:rPr>
        <w:t>Ulteriori potenziamenti di Oracle Database</w:t>
      </w:r>
    </w:p>
    <w:p w14:paraId="12D33EAF" w14:textId="77777777" w:rsidR="001E1441" w:rsidRDefault="001E1441" w:rsidP="001E1441">
      <w:pPr>
        <w:rPr>
          <w:rFonts w:ascii="Oracle Sans" w:hAnsi="Oracle Sans"/>
        </w:rPr>
      </w:pPr>
      <w:r>
        <w:rPr>
          <w:rFonts w:ascii="Oracle Sans" w:hAnsi="Oracle Sans"/>
        </w:rPr>
        <w:lastRenderedPageBreak/>
        <w:t xml:space="preserve">Con l'integrazione dell'AI generativa in tutto lo </w:t>
      </w:r>
      <w:proofErr w:type="spellStart"/>
      <w:r>
        <w:rPr>
          <w:rFonts w:ascii="Oracle Sans" w:hAnsi="Oracle Sans"/>
        </w:rPr>
        <w:t>stack</w:t>
      </w:r>
      <w:proofErr w:type="spellEnd"/>
      <w:r>
        <w:rPr>
          <w:rFonts w:ascii="Oracle Sans" w:hAnsi="Oracle Sans"/>
        </w:rPr>
        <w:t xml:space="preserve"> tecnologico di Oracle (</w:t>
      </w:r>
      <w:proofErr w:type="spellStart"/>
      <w:r>
        <w:rPr>
          <w:rFonts w:ascii="Oracle Sans" w:hAnsi="Oracle Sans"/>
        </w:rPr>
        <w:t>NdR</w:t>
      </w:r>
      <w:proofErr w:type="spellEnd"/>
      <w:r>
        <w:rPr>
          <w:rFonts w:ascii="Oracle Sans" w:hAnsi="Oracle Sans"/>
        </w:rPr>
        <w:t xml:space="preserve"> </w:t>
      </w:r>
      <w:hyperlink r:id="rId11" w:history="1">
        <w:r>
          <w:rPr>
            <w:rStyle w:val="Collegamentoipertestuale"/>
            <w:rFonts w:ascii="Oracle Sans" w:hAnsi="Oracle Sans"/>
          </w:rPr>
          <w:t>recentemente annunciata</w:t>
        </w:r>
      </w:hyperlink>
      <w:r>
        <w:rPr>
          <w:rFonts w:ascii="Oracle Sans" w:hAnsi="Oracle Sans"/>
        </w:rPr>
        <w:t xml:space="preserve">, gennaio 2024), gli sviluppatori hanno ora accesso a nuovi strumenti, tra cui </w:t>
      </w:r>
      <w:proofErr w:type="spellStart"/>
      <w:r>
        <w:rPr>
          <w:rFonts w:ascii="Oracle Sans" w:hAnsi="Oracle Sans"/>
        </w:rPr>
        <w:t>Autonomous</w:t>
      </w:r>
      <w:proofErr w:type="spellEnd"/>
      <w:r>
        <w:rPr>
          <w:rFonts w:ascii="Oracle Sans" w:hAnsi="Oracle Sans"/>
        </w:rPr>
        <w:t xml:space="preserve"> Database Select AI, per integrare AI e ML nelle loro applicazioni. Select AI può tradurre le domande in linguaggio naturale in un flusso di conversazione in query SQL, utilizzando modelli linguistici di grandi dimensioni (LLM). Con </w:t>
      </w:r>
      <w:proofErr w:type="spellStart"/>
      <w:r>
        <w:rPr>
          <w:rFonts w:ascii="Oracle Sans" w:hAnsi="Oracle Sans"/>
        </w:rPr>
        <w:t>Globally</w:t>
      </w:r>
      <w:proofErr w:type="spellEnd"/>
      <w:r>
        <w:rPr>
          <w:rFonts w:ascii="Oracle Sans" w:hAnsi="Oracle Sans"/>
        </w:rPr>
        <w:t xml:space="preserve"> Distributed </w:t>
      </w:r>
      <w:proofErr w:type="spellStart"/>
      <w:r>
        <w:rPr>
          <w:rFonts w:ascii="Oracle Sans" w:hAnsi="Oracle Sans"/>
        </w:rPr>
        <w:t>Autonomous</w:t>
      </w:r>
      <w:proofErr w:type="spellEnd"/>
      <w:r>
        <w:rPr>
          <w:rFonts w:ascii="Oracle Sans" w:hAnsi="Oracle Sans"/>
        </w:rPr>
        <w:t xml:space="preserve"> Database, la query SQL viene automaticamente indirizzata al Paese o allo </w:t>
      </w:r>
      <w:proofErr w:type="spellStart"/>
      <w:r>
        <w:rPr>
          <w:rFonts w:ascii="Oracle Sans" w:hAnsi="Oracle Sans"/>
          <w:i/>
          <w:iCs/>
        </w:rPr>
        <w:t>shard</w:t>
      </w:r>
      <w:proofErr w:type="spellEnd"/>
      <w:r>
        <w:rPr>
          <w:rFonts w:ascii="Oracle Sans" w:hAnsi="Oracle Sans"/>
        </w:rPr>
        <w:t xml:space="preserve"> appropriato per generare le risposte. Inoltre, Oracle Database 23c con la replica del consenso basata su quorum Raft (N/2 + 1) fornirà un ripristino automatico dell'applicazione di meno di 3 secondi e senza perdita di dati. Questo e </w:t>
      </w:r>
      <w:hyperlink r:id="rId12" w:history="1">
        <w:r>
          <w:rPr>
            <w:rStyle w:val="Collegamentoipertestuale"/>
            <w:rFonts w:ascii="Oracle Sans" w:hAnsi="Oracle Sans"/>
          </w:rPr>
          <w:t xml:space="preserve">l'AI </w:t>
        </w:r>
        <w:proofErr w:type="spellStart"/>
        <w:r>
          <w:rPr>
            <w:rStyle w:val="Collegamentoipertestuale"/>
            <w:rFonts w:ascii="Oracle Sans" w:hAnsi="Oracle Sans"/>
          </w:rPr>
          <w:t>Vector</w:t>
        </w:r>
        <w:proofErr w:type="spellEnd"/>
        <w:r>
          <w:rPr>
            <w:rStyle w:val="Collegamentoipertestuale"/>
            <w:rFonts w:ascii="Oracle Sans" w:hAnsi="Oracle Sans"/>
          </w:rPr>
          <w:t xml:space="preserve"> </w:t>
        </w:r>
        <w:proofErr w:type="spellStart"/>
        <w:r>
          <w:rPr>
            <w:rStyle w:val="Collegamentoipertestuale"/>
            <w:rFonts w:ascii="Oracle Sans" w:hAnsi="Oracle Sans"/>
          </w:rPr>
          <w:t>Search</w:t>
        </w:r>
        <w:proofErr w:type="spellEnd"/>
      </w:hyperlink>
      <w:r>
        <w:rPr>
          <w:rFonts w:ascii="Oracle Sans" w:hAnsi="Oracle Sans"/>
        </w:rPr>
        <w:t xml:space="preserve"> con l'integrazione della </w:t>
      </w:r>
      <w:proofErr w:type="spellStart"/>
      <w:r>
        <w:rPr>
          <w:rFonts w:ascii="Oracle Sans" w:hAnsi="Oracle Sans"/>
        </w:rPr>
        <w:t>Retrieval</w:t>
      </w:r>
      <w:proofErr w:type="spellEnd"/>
      <w:r>
        <w:rPr>
          <w:rFonts w:ascii="Oracle Sans" w:hAnsi="Oracle Sans"/>
        </w:rPr>
        <w:t xml:space="preserve"> </w:t>
      </w:r>
      <w:proofErr w:type="spellStart"/>
      <w:r>
        <w:rPr>
          <w:rFonts w:ascii="Oracle Sans" w:hAnsi="Oracle Sans"/>
        </w:rPr>
        <w:t>Augmented</w:t>
      </w:r>
      <w:proofErr w:type="spellEnd"/>
      <w:r>
        <w:rPr>
          <w:rFonts w:ascii="Oracle Sans" w:hAnsi="Oracle Sans"/>
        </w:rPr>
        <w:t xml:space="preserve"> Generation (RAG) saranno disponibili nel corso dell'anno. </w:t>
      </w:r>
    </w:p>
    <w:p w14:paraId="4D1876CC" w14:textId="77777777" w:rsidR="001E1441" w:rsidRDefault="001E1441" w:rsidP="001E1441">
      <w:pPr>
        <w:rPr>
          <w:rFonts w:ascii="Oracle Sans" w:hAnsi="Oracle Sans"/>
          <w:b/>
          <w:bCs/>
        </w:rPr>
      </w:pPr>
    </w:p>
    <w:p w14:paraId="3E9244EE" w14:textId="77777777" w:rsidR="001E1441" w:rsidRDefault="001E1441" w:rsidP="001E1441">
      <w:pPr>
        <w:rPr>
          <w:rFonts w:ascii="Oracle Sans" w:hAnsi="Oracle Sans"/>
          <w:b/>
          <w:bCs/>
        </w:rPr>
      </w:pPr>
      <w:r>
        <w:rPr>
          <w:rFonts w:ascii="Oracle Sans" w:hAnsi="Oracle Sans"/>
          <w:b/>
          <w:bCs/>
        </w:rPr>
        <w:t>Commenti di clienti e analisti</w:t>
      </w:r>
    </w:p>
    <w:p w14:paraId="0C6B299E" w14:textId="77777777" w:rsidR="001E1441" w:rsidRDefault="001E1441" w:rsidP="001E1441">
      <w:pPr>
        <w:rPr>
          <w:rFonts w:ascii="Oracle Sans" w:hAnsi="Oracle Sans"/>
          <w:b/>
          <w:bCs/>
        </w:rPr>
      </w:pPr>
      <w:r>
        <w:rPr>
          <w:rFonts w:ascii="Oracle Sans" w:hAnsi="Oracle Sans"/>
        </w:rPr>
        <w:t>"</w:t>
      </w:r>
      <w:r>
        <w:rPr>
          <w:rFonts w:ascii="Oracle Sans" w:hAnsi="Oracle Sans"/>
          <w:i/>
          <w:iCs/>
        </w:rPr>
        <w:t xml:space="preserve">Il </w:t>
      </w:r>
      <w:proofErr w:type="spellStart"/>
      <w:r>
        <w:rPr>
          <w:rFonts w:ascii="Oracle Sans" w:hAnsi="Oracle Sans"/>
          <w:i/>
          <w:iCs/>
        </w:rPr>
        <w:t>Globally</w:t>
      </w:r>
      <w:proofErr w:type="spellEnd"/>
      <w:r>
        <w:rPr>
          <w:rFonts w:ascii="Oracle Sans" w:hAnsi="Oracle Sans"/>
          <w:i/>
          <w:iCs/>
        </w:rPr>
        <w:t xml:space="preserve"> Distributed Database di Oracle ci permette di rispettare le normative sulla residenza dei dati, distribuendo automaticamente i dati in vari Paesi in modo trasparente per gli utenti dell'applicazione, in modo molto economico</w:t>
      </w:r>
      <w:r>
        <w:rPr>
          <w:rFonts w:ascii="Oracle Sans" w:hAnsi="Oracle Sans"/>
        </w:rPr>
        <w:t xml:space="preserve">", ha dichiarato </w:t>
      </w:r>
      <w:r>
        <w:rPr>
          <w:rFonts w:ascii="Oracle Sans" w:hAnsi="Oracle Sans"/>
          <w:b/>
          <w:bCs/>
        </w:rPr>
        <w:t xml:space="preserve">Bilal Ramadan, </w:t>
      </w:r>
      <w:proofErr w:type="spellStart"/>
      <w:r>
        <w:rPr>
          <w:rFonts w:ascii="Oracle Sans" w:hAnsi="Oracle Sans"/>
          <w:b/>
          <w:bCs/>
        </w:rPr>
        <w:t>Chief</w:t>
      </w:r>
      <w:proofErr w:type="spellEnd"/>
      <w:r>
        <w:rPr>
          <w:rFonts w:ascii="Oracle Sans" w:hAnsi="Oracle Sans"/>
          <w:b/>
          <w:bCs/>
        </w:rPr>
        <w:t xml:space="preserve"> Delivery </w:t>
      </w:r>
      <w:proofErr w:type="spellStart"/>
      <w:r>
        <w:rPr>
          <w:rFonts w:ascii="Oracle Sans" w:hAnsi="Oracle Sans"/>
          <w:b/>
          <w:bCs/>
        </w:rPr>
        <w:t>Officer</w:t>
      </w:r>
      <w:proofErr w:type="spellEnd"/>
      <w:r>
        <w:rPr>
          <w:rFonts w:ascii="Oracle Sans" w:hAnsi="Oracle Sans"/>
          <w:b/>
          <w:bCs/>
        </w:rPr>
        <w:t xml:space="preserve"> di </w:t>
      </w:r>
      <w:proofErr w:type="spellStart"/>
      <w:r>
        <w:rPr>
          <w:rFonts w:ascii="Oracle Sans" w:hAnsi="Oracle Sans"/>
          <w:b/>
          <w:bCs/>
        </w:rPr>
        <w:t>Munich</w:t>
      </w:r>
      <w:proofErr w:type="spellEnd"/>
      <w:r>
        <w:rPr>
          <w:rFonts w:ascii="Oracle Sans" w:hAnsi="Oracle Sans"/>
          <w:b/>
          <w:bCs/>
        </w:rPr>
        <w:t xml:space="preserve"> Re </w:t>
      </w:r>
      <w:proofErr w:type="spellStart"/>
      <w:r>
        <w:rPr>
          <w:rFonts w:ascii="Oracle Sans" w:hAnsi="Oracle Sans"/>
          <w:b/>
          <w:bCs/>
        </w:rPr>
        <w:t>HealthTech</w:t>
      </w:r>
      <w:proofErr w:type="spellEnd"/>
      <w:r>
        <w:rPr>
          <w:rFonts w:ascii="Oracle Sans" w:hAnsi="Oracle Sans"/>
        </w:rPr>
        <w:t>, società greca di sviluppo software per il settore assicurativo sanitario.</w:t>
      </w:r>
    </w:p>
    <w:p w14:paraId="06284CFF" w14:textId="77777777" w:rsidR="001E1441" w:rsidRDefault="001E1441" w:rsidP="001E1441">
      <w:pPr>
        <w:rPr>
          <w:rFonts w:ascii="Oracle Sans" w:hAnsi="Oracle Sans"/>
        </w:rPr>
      </w:pPr>
    </w:p>
    <w:p w14:paraId="531E87C3" w14:textId="77777777" w:rsidR="001E1441" w:rsidRDefault="001E1441" w:rsidP="001E1441">
      <w:pPr>
        <w:rPr>
          <w:rFonts w:ascii="Oracle Sans" w:hAnsi="Oracle Sans"/>
          <w:i/>
          <w:iCs/>
        </w:rPr>
      </w:pPr>
      <w:r>
        <w:rPr>
          <w:rFonts w:ascii="Oracle Sans" w:hAnsi="Oracle Sans"/>
          <w:i/>
          <w:iCs/>
        </w:rPr>
        <w:t xml:space="preserve">"Molti sistemi di database presentano questa o quella tecnica di </w:t>
      </w:r>
      <w:proofErr w:type="spellStart"/>
      <w:r>
        <w:rPr>
          <w:rFonts w:ascii="Oracle Sans" w:hAnsi="Oracle Sans"/>
          <w:i/>
          <w:iCs/>
        </w:rPr>
        <w:t>sharding</w:t>
      </w:r>
      <w:proofErr w:type="spellEnd"/>
      <w:r>
        <w:rPr>
          <w:rFonts w:ascii="Oracle Sans" w:hAnsi="Oracle Sans"/>
          <w:i/>
          <w:iCs/>
        </w:rPr>
        <w:t xml:space="preserve"> per aiutare gli utenti a gestire un insieme di dati su più database e, in alcuni casi, a ottenere una capacità di database distribuito. Queste tecniche di solito comportano un pesante onere per gli sviluppatori di applicazioni, che devono scrivere codice per segregare e orchestrare gli aggiornamenti degli </w:t>
      </w:r>
      <w:proofErr w:type="spellStart"/>
      <w:r>
        <w:rPr>
          <w:rFonts w:ascii="Oracle Sans" w:hAnsi="Oracle Sans"/>
          <w:i/>
          <w:iCs/>
        </w:rPr>
        <w:t>shard</w:t>
      </w:r>
      <w:proofErr w:type="spellEnd"/>
      <w:r>
        <w:rPr>
          <w:rFonts w:ascii="Oracle Sans" w:hAnsi="Oracle Sans"/>
          <w:i/>
          <w:iCs/>
        </w:rPr>
        <w:t xml:space="preserve"> in modo tale da evitare dati in conflitto e combinazioni di dati illogiche. L'approccio di Oracle allo </w:t>
      </w:r>
      <w:proofErr w:type="spellStart"/>
      <w:r>
        <w:rPr>
          <w:rFonts w:ascii="Oracle Sans" w:hAnsi="Oracle Sans"/>
          <w:i/>
          <w:iCs/>
        </w:rPr>
        <w:t>sharding</w:t>
      </w:r>
      <w:proofErr w:type="spellEnd"/>
      <w:r>
        <w:rPr>
          <w:rFonts w:ascii="Oracle Sans" w:hAnsi="Oracle Sans"/>
          <w:i/>
          <w:iCs/>
        </w:rPr>
        <w:t xml:space="preserve"> evita tutto questo, rendendo l'interazione delle applicazioni con i database trasparente e affidabile</w:t>
      </w:r>
      <w:r>
        <w:rPr>
          <w:rFonts w:ascii="Oracle Sans" w:hAnsi="Oracle Sans"/>
        </w:rPr>
        <w:t xml:space="preserve"> ", ha dichiarato </w:t>
      </w:r>
      <w:r>
        <w:rPr>
          <w:rFonts w:ascii="Oracle Sans" w:hAnsi="Oracle Sans"/>
          <w:b/>
          <w:bCs/>
        </w:rPr>
        <w:t xml:space="preserve">Carl </w:t>
      </w:r>
      <w:proofErr w:type="spellStart"/>
      <w:r>
        <w:rPr>
          <w:rFonts w:ascii="Oracle Sans" w:hAnsi="Oracle Sans"/>
          <w:b/>
          <w:bCs/>
        </w:rPr>
        <w:t>Olofson</w:t>
      </w:r>
      <w:proofErr w:type="spellEnd"/>
      <w:r>
        <w:rPr>
          <w:rFonts w:ascii="Oracle Sans" w:hAnsi="Oracle Sans"/>
          <w:b/>
          <w:bCs/>
        </w:rPr>
        <w:t xml:space="preserve">, </w:t>
      </w:r>
      <w:proofErr w:type="spellStart"/>
      <w:r>
        <w:rPr>
          <w:rFonts w:ascii="Oracle Sans" w:hAnsi="Oracle Sans"/>
          <w:b/>
          <w:bCs/>
        </w:rPr>
        <w:t>research</w:t>
      </w:r>
      <w:proofErr w:type="spellEnd"/>
      <w:r>
        <w:rPr>
          <w:rFonts w:ascii="Oracle Sans" w:hAnsi="Oracle Sans"/>
          <w:b/>
          <w:bCs/>
        </w:rPr>
        <w:t xml:space="preserve"> vice </w:t>
      </w:r>
      <w:proofErr w:type="spellStart"/>
      <w:r>
        <w:rPr>
          <w:rFonts w:ascii="Oracle Sans" w:hAnsi="Oracle Sans"/>
          <w:b/>
          <w:bCs/>
        </w:rPr>
        <w:t>president</w:t>
      </w:r>
      <w:proofErr w:type="spellEnd"/>
      <w:r>
        <w:rPr>
          <w:rFonts w:ascii="Oracle Sans" w:hAnsi="Oracle Sans"/>
          <w:b/>
          <w:bCs/>
        </w:rPr>
        <w:t>, Data Management Software, IDC</w:t>
      </w:r>
      <w:r>
        <w:rPr>
          <w:rFonts w:ascii="Oracle Sans" w:hAnsi="Oracle Sans"/>
        </w:rPr>
        <w:t>. "</w:t>
      </w:r>
      <w:r>
        <w:rPr>
          <w:rFonts w:ascii="Oracle Sans" w:hAnsi="Oracle Sans"/>
          <w:i/>
          <w:iCs/>
        </w:rPr>
        <w:t xml:space="preserve">Inoltre, la collaudata tecnologia di clustering RAC di Oracle, estesa a questo approccio di database distribuito, consente di offrire una ricca varietà di modelli di distribuzione dei dati, metodi di replica e opzioni di implementazione degli </w:t>
      </w:r>
      <w:proofErr w:type="spellStart"/>
      <w:r>
        <w:rPr>
          <w:rFonts w:ascii="Oracle Sans" w:hAnsi="Oracle Sans"/>
          <w:i/>
          <w:iCs/>
        </w:rPr>
        <w:t>shard</w:t>
      </w:r>
      <w:proofErr w:type="spellEnd"/>
      <w:r>
        <w:rPr>
          <w:rFonts w:ascii="Oracle Sans" w:hAnsi="Oracle Sans"/>
          <w:i/>
          <w:iCs/>
        </w:rPr>
        <w:t xml:space="preserve"> più facili da gestire e semplici da sviluppare, il che permette a Oracle Database di soddisfare anche le esigenze più specifiche dei clienti. L'insieme di queste capacità fa di Oracle un attore chiave nella categoria dei database distribuiti".</w:t>
      </w:r>
    </w:p>
    <w:p w14:paraId="554B155C" w14:textId="77777777" w:rsidR="001E1441" w:rsidRDefault="001E1441" w:rsidP="001E1441">
      <w:pPr>
        <w:rPr>
          <w:rFonts w:ascii="Oracle Sans" w:hAnsi="Oracle Sans"/>
        </w:rPr>
      </w:pPr>
    </w:p>
    <w:p w14:paraId="3C7F5C3D" w14:textId="77777777" w:rsidR="001E1441" w:rsidRDefault="001E1441" w:rsidP="001E1441">
      <w:pPr>
        <w:rPr>
          <w:rFonts w:ascii="Oracle Sans" w:hAnsi="Oracle Sans"/>
          <w:color w:val="161513"/>
          <w:shd w:val="clear" w:color="auto" w:fill="FFFFFF"/>
        </w:rPr>
      </w:pPr>
      <w:r>
        <w:rPr>
          <w:rFonts w:ascii="Oracle Sans" w:hAnsi="Oracle Sans"/>
          <w:color w:val="161513"/>
          <w:shd w:val="clear" w:color="auto" w:fill="FFFFFF"/>
        </w:rPr>
        <w:t>Approfondimenti sono disponibili ai seguenti link:</w:t>
      </w:r>
    </w:p>
    <w:p w14:paraId="7D0266A0" w14:textId="77777777" w:rsidR="001E1441" w:rsidRDefault="001E1441" w:rsidP="001E1441">
      <w:pPr>
        <w:pStyle w:val="Paragrafoelenco"/>
        <w:numPr>
          <w:ilvl w:val="0"/>
          <w:numId w:val="3"/>
        </w:numPr>
        <w:rPr>
          <w:rFonts w:ascii="Oracle Sans" w:hAnsi="Oracle Sans"/>
        </w:rPr>
      </w:pPr>
      <w:r>
        <w:rPr>
          <w:rFonts w:ascii="Oracle Sans" w:hAnsi="Oracle Sans"/>
          <w:color w:val="161513"/>
          <w:shd w:val="clear" w:color="auto" w:fill="FFFFFF"/>
        </w:rPr>
        <w:t xml:space="preserve">Blog tecnico di </w:t>
      </w:r>
      <w:proofErr w:type="spellStart"/>
      <w:r>
        <w:rPr>
          <w:rFonts w:ascii="Oracle Sans" w:hAnsi="Oracle Sans"/>
          <w:color w:val="161513"/>
          <w:shd w:val="clear" w:color="auto" w:fill="FFFFFF"/>
        </w:rPr>
        <w:t>Pankaj</w:t>
      </w:r>
      <w:proofErr w:type="spellEnd"/>
      <w:r>
        <w:rPr>
          <w:rFonts w:ascii="Oracle Sans" w:hAnsi="Oracle Sans"/>
          <w:color w:val="161513"/>
          <w:shd w:val="clear" w:color="auto" w:fill="FFFFFF"/>
        </w:rPr>
        <w:t xml:space="preserve"> </w:t>
      </w:r>
      <w:proofErr w:type="spellStart"/>
      <w:r>
        <w:rPr>
          <w:rFonts w:ascii="Oracle Sans" w:hAnsi="Oracle Sans"/>
          <w:color w:val="161513"/>
          <w:shd w:val="clear" w:color="auto" w:fill="FFFFFF"/>
        </w:rPr>
        <w:t>Chandiramani</w:t>
      </w:r>
      <w:proofErr w:type="spellEnd"/>
      <w:r>
        <w:rPr>
          <w:rFonts w:ascii="Oracle Sans" w:hAnsi="Oracle Sans"/>
          <w:color w:val="161513"/>
          <w:shd w:val="clear" w:color="auto" w:fill="FFFFFF"/>
        </w:rPr>
        <w:t xml:space="preserve">: </w:t>
      </w:r>
      <w:hyperlink r:id="rId13" w:history="1"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General </w:t>
        </w:r>
        <w:proofErr w:type="spellStart"/>
        <w:r>
          <w:rPr>
            <w:rStyle w:val="Collegamentoipertestuale"/>
            <w:rFonts w:ascii="Oracle Sans" w:hAnsi="Oracle Sans"/>
            <w:shd w:val="clear" w:color="auto" w:fill="FFFFFF"/>
          </w:rPr>
          <w:t>availability</w:t>
        </w:r>
        <w:proofErr w:type="spellEnd"/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Oracle Sans" w:hAnsi="Oracle Sans"/>
            <w:shd w:val="clear" w:color="auto" w:fill="FFFFFF"/>
          </w:rPr>
          <w:t>globally</w:t>
        </w:r>
        <w:proofErr w:type="spellEnd"/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Oracle Sans" w:hAnsi="Oracle Sans"/>
            <w:shd w:val="clear" w:color="auto" w:fill="FFFFFF"/>
          </w:rPr>
          <w:t>distributed</w:t>
        </w:r>
        <w:proofErr w:type="spellEnd"/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Oracle Sans" w:hAnsi="Oracle Sans"/>
            <w:shd w:val="clear" w:color="auto" w:fill="FFFFFF"/>
          </w:rPr>
          <w:t>autonomous</w:t>
        </w:r>
        <w:proofErr w:type="spellEnd"/>
        <w:r>
          <w:rPr>
            <w:rStyle w:val="Collegamentoipertestuale"/>
            <w:rFonts w:ascii="Oracle Sans" w:hAnsi="Oracle Sans"/>
            <w:shd w:val="clear" w:color="auto" w:fill="FFFFFF"/>
          </w:rPr>
          <w:t xml:space="preserve"> database</w:t>
        </w:r>
      </w:hyperlink>
    </w:p>
    <w:p w14:paraId="6027F97D" w14:textId="77777777" w:rsidR="001E1441" w:rsidRDefault="001E1441" w:rsidP="001E1441">
      <w:pPr>
        <w:pStyle w:val="Paragrafoelenco"/>
        <w:numPr>
          <w:ilvl w:val="0"/>
          <w:numId w:val="4"/>
        </w:numPr>
        <w:rPr>
          <w:rFonts w:ascii="Oracle Sans" w:hAnsi="Oracle Sans"/>
          <w:color w:val="000000"/>
          <w:lang w:val="en-GB"/>
        </w:rPr>
      </w:pPr>
      <w:r>
        <w:rPr>
          <w:rStyle w:val="Collegamentoipertestuale"/>
          <w:rFonts w:ascii="Oracle Sans" w:hAnsi="Oracle Sans"/>
          <w:color w:val="000000"/>
          <w:lang w:val="en-GB"/>
        </w:rPr>
        <w:t xml:space="preserve">Read what </w:t>
      </w:r>
      <w:hyperlink r:id="rId14" w:history="1">
        <w:r>
          <w:rPr>
            <w:rStyle w:val="Collegamentoipertestuale"/>
            <w:rFonts w:ascii="Oracle Sans" w:hAnsi="Oracle Sans"/>
            <w:lang w:val="en-GB"/>
          </w:rPr>
          <w:t>industry analysts are saying about Globally Distributed Autonomous Database</w:t>
        </w:r>
      </w:hyperlink>
    </w:p>
    <w:p w14:paraId="789B29DE" w14:textId="77777777" w:rsidR="001E1441" w:rsidRDefault="001E1441" w:rsidP="001E1441">
      <w:pPr>
        <w:pStyle w:val="Paragrafoelenco"/>
        <w:numPr>
          <w:ilvl w:val="0"/>
          <w:numId w:val="4"/>
        </w:numPr>
        <w:rPr>
          <w:rFonts w:ascii="Oracle Sans" w:hAnsi="Oracle Sans"/>
          <w:lang w:val="en-GB"/>
        </w:rPr>
      </w:pPr>
      <w:hyperlink r:id="rId15" w:history="1">
        <w:r>
          <w:rPr>
            <w:rStyle w:val="Collegamentoipertestuale"/>
            <w:rFonts w:ascii="Oracle Sans" w:hAnsi="Oracle Sans"/>
            <w:lang w:val="en-GB"/>
          </w:rPr>
          <w:t>https://www.oracle.com/it/autonomous-database/</w:t>
        </w:r>
      </w:hyperlink>
    </w:p>
    <w:p w14:paraId="73A21458" w14:textId="77777777" w:rsidR="001E1441" w:rsidRPr="001E1441" w:rsidRDefault="001E1441" w:rsidP="001E1441">
      <w:pPr>
        <w:pStyle w:val="Paragrafoelenco"/>
        <w:numPr>
          <w:ilvl w:val="0"/>
          <w:numId w:val="4"/>
        </w:numPr>
        <w:rPr>
          <w:rFonts w:ascii="Oracle Sans" w:hAnsi="Oracle Sans"/>
        </w:rPr>
      </w:pPr>
      <w:r w:rsidRPr="001E1441">
        <w:rPr>
          <w:rFonts w:ascii="Oracle Sans" w:hAnsi="Oracle Sans"/>
        </w:rPr>
        <w:t xml:space="preserve">Blog di George </w:t>
      </w:r>
      <w:proofErr w:type="spellStart"/>
      <w:r w:rsidRPr="001E1441">
        <w:rPr>
          <w:rFonts w:ascii="Oracle Sans" w:hAnsi="Oracle Sans"/>
        </w:rPr>
        <w:t>Lumpkin</w:t>
      </w:r>
      <w:proofErr w:type="spellEnd"/>
      <w:r w:rsidRPr="001E1441">
        <w:rPr>
          <w:rFonts w:ascii="Oracle Sans" w:hAnsi="Oracle Sans"/>
        </w:rPr>
        <w:t xml:space="preserve">: </w:t>
      </w:r>
      <w:hyperlink r:id="rId16" w:history="1">
        <w:r w:rsidRPr="001E1441">
          <w:rPr>
            <w:rStyle w:val="Collegamentoipertestuale"/>
            <w:rFonts w:ascii="Oracle Sans" w:hAnsi="Oracle Sans"/>
          </w:rPr>
          <w:t xml:space="preserve">AI capabilities in </w:t>
        </w:r>
        <w:proofErr w:type="spellStart"/>
        <w:r w:rsidRPr="001E1441">
          <w:rPr>
            <w:rStyle w:val="Collegamentoipertestuale"/>
            <w:rFonts w:ascii="Oracle Sans" w:hAnsi="Oracle Sans"/>
          </w:rPr>
          <w:t>Autonomous</w:t>
        </w:r>
        <w:proofErr w:type="spellEnd"/>
        <w:r w:rsidRPr="001E1441">
          <w:rPr>
            <w:rStyle w:val="Collegamentoipertestuale"/>
            <w:rFonts w:ascii="Oracle Sans" w:hAnsi="Oracle Sans"/>
          </w:rPr>
          <w:t xml:space="preserve"> Database</w:t>
        </w:r>
      </w:hyperlink>
    </w:p>
    <w:p w14:paraId="2BF366FC" w14:textId="77777777" w:rsidR="001E1441" w:rsidRPr="001E1441" w:rsidRDefault="001E1441" w:rsidP="001E1441">
      <w:pPr>
        <w:rPr>
          <w:rFonts w:ascii="Oracle Sans" w:hAnsi="Oracle Sans"/>
          <w:sz w:val="20"/>
          <w:szCs w:val="20"/>
        </w:rPr>
      </w:pPr>
    </w:p>
    <w:p w14:paraId="33C2A47E" w14:textId="77777777" w:rsidR="001E1441" w:rsidRDefault="001E1441" w:rsidP="001E1441">
      <w:pPr>
        <w:rPr>
          <w:rFonts w:ascii="Oracle Sans" w:hAnsi="Oracle Sans"/>
          <w:b/>
          <w:bCs/>
          <w:color w:val="000000"/>
          <w:sz w:val="20"/>
          <w:szCs w:val="20"/>
        </w:rPr>
      </w:pPr>
      <w:r>
        <w:rPr>
          <w:rFonts w:ascii="Oracle Sans" w:hAnsi="Oracle Sans"/>
          <w:b/>
          <w:bCs/>
          <w:color w:val="000000"/>
          <w:sz w:val="20"/>
          <w:szCs w:val="20"/>
        </w:rPr>
        <w:t>Informazioni su Oracle</w:t>
      </w:r>
    </w:p>
    <w:p w14:paraId="4D2D5289" w14:textId="77777777" w:rsidR="001E1441" w:rsidRDefault="001E1441" w:rsidP="001E1441">
      <w:pPr>
        <w:rPr>
          <w:rFonts w:ascii="Oracle Sans" w:hAnsi="Oracle Sans"/>
          <w:sz w:val="20"/>
          <w:szCs w:val="20"/>
        </w:rPr>
      </w:pPr>
      <w:r>
        <w:rPr>
          <w:rFonts w:ascii="Oracle Sans" w:hAnsi="Oracle Sans"/>
          <w:color w:val="000000"/>
          <w:sz w:val="20"/>
          <w:szCs w:val="20"/>
        </w:rPr>
        <w:t>Oracle offre una serie di applicazioni integrate e un'infrastruttura sicura e autonoma in Oracle Cloud. Per ulteriori informazioni su Oracle (NYSE: ORCL), visita il sito </w:t>
      </w:r>
      <w:hyperlink r:id="rId17" w:tgtFrame="_blank" w:history="1">
        <w:r>
          <w:rPr>
            <w:rStyle w:val="Collegamentoipertestuale"/>
            <w:rFonts w:ascii="Oracle Sans" w:hAnsi="Oracle Sans"/>
            <w:color w:val="006B8F"/>
            <w:sz w:val="20"/>
            <w:szCs w:val="20"/>
            <w:shd w:val="clear" w:color="auto" w:fill="FFFFFF"/>
          </w:rPr>
          <w:t>oracle.com</w:t>
        </w:r>
      </w:hyperlink>
    </w:p>
    <w:p w14:paraId="5EC426A9" w14:textId="77777777" w:rsidR="001E1441" w:rsidRDefault="001E1441" w:rsidP="001E1441">
      <w:pPr>
        <w:rPr>
          <w:rFonts w:ascii="Oracle Sans" w:hAnsi="Oracle Sans"/>
          <w:sz w:val="20"/>
          <w:szCs w:val="20"/>
          <w:lang w:eastAsia="it-IT"/>
        </w:rPr>
      </w:pPr>
      <w:r>
        <w:rPr>
          <w:rFonts w:ascii="Oracle Sans" w:hAnsi="Oracle Sans"/>
          <w:color w:val="000000"/>
          <w:sz w:val="20"/>
          <w:szCs w:val="20"/>
        </w:rPr>
        <w:t> </w:t>
      </w:r>
    </w:p>
    <w:p w14:paraId="260C19E2" w14:textId="77777777" w:rsidR="001E1441" w:rsidRDefault="001E1441" w:rsidP="001E1441">
      <w:pPr>
        <w:rPr>
          <w:rFonts w:ascii="Oracle Sans" w:hAnsi="Oracle Sans"/>
          <w:b/>
          <w:bCs/>
          <w:color w:val="000000"/>
          <w:sz w:val="20"/>
          <w:szCs w:val="20"/>
        </w:rPr>
      </w:pPr>
      <w:r>
        <w:rPr>
          <w:rFonts w:ascii="Oracle Sans" w:hAnsi="Oracle Sans"/>
          <w:b/>
          <w:bCs/>
          <w:color w:val="000000"/>
          <w:sz w:val="20"/>
          <w:szCs w:val="20"/>
        </w:rPr>
        <w:t>Marchi registrati</w:t>
      </w:r>
    </w:p>
    <w:p w14:paraId="3949A993" w14:textId="77777777" w:rsidR="001E1441" w:rsidRDefault="001E1441" w:rsidP="001E1441">
      <w:pPr>
        <w:rPr>
          <w:rFonts w:ascii="Oracle Sans" w:hAnsi="Oracle Sans"/>
          <w:sz w:val="20"/>
          <w:szCs w:val="20"/>
        </w:rPr>
      </w:pPr>
      <w:r>
        <w:rPr>
          <w:rFonts w:ascii="Oracle Sans" w:hAnsi="Oracle Sans"/>
          <w:sz w:val="20"/>
          <w:szCs w:val="20"/>
        </w:rPr>
        <w:t xml:space="preserve">Oracle, Java, MySQL, e </w:t>
      </w:r>
      <w:proofErr w:type="spellStart"/>
      <w:r>
        <w:rPr>
          <w:rFonts w:ascii="Oracle Sans" w:hAnsi="Oracle Sans"/>
          <w:sz w:val="20"/>
          <w:szCs w:val="20"/>
        </w:rPr>
        <w:t>NetSuite</w:t>
      </w:r>
      <w:proofErr w:type="spellEnd"/>
      <w:r>
        <w:rPr>
          <w:rFonts w:ascii="Oracle Sans" w:hAnsi="Oracle Sans"/>
          <w:sz w:val="20"/>
          <w:szCs w:val="20"/>
        </w:rPr>
        <w:t xml:space="preserve"> sono marchi registrati di Oracle Corporation. </w:t>
      </w:r>
      <w:proofErr w:type="spellStart"/>
      <w:r>
        <w:rPr>
          <w:rFonts w:ascii="Oracle Sans" w:hAnsi="Oracle Sans"/>
          <w:sz w:val="20"/>
          <w:szCs w:val="20"/>
        </w:rPr>
        <w:t>NetSuite</w:t>
      </w:r>
      <w:proofErr w:type="spellEnd"/>
      <w:r>
        <w:rPr>
          <w:rFonts w:ascii="Oracle Sans" w:hAnsi="Oracle Sans"/>
          <w:sz w:val="20"/>
          <w:szCs w:val="20"/>
        </w:rPr>
        <w:t xml:space="preserve"> è stata l'azienda cloud che ha inaugurato la nuova era del cloud computing.</w:t>
      </w:r>
    </w:p>
    <w:p w14:paraId="59FB4843" w14:textId="77777777" w:rsidR="001E1441" w:rsidRDefault="001E1441" w:rsidP="001E1441">
      <w:pPr>
        <w:rPr>
          <w:rFonts w:ascii="Oracle Sans" w:hAnsi="Oracle Sans"/>
          <w:sz w:val="20"/>
          <w:szCs w:val="20"/>
        </w:rPr>
      </w:pPr>
    </w:p>
    <w:p w14:paraId="181026B5" w14:textId="77777777" w:rsidR="001E1441" w:rsidRDefault="001E1441" w:rsidP="001E1441">
      <w:pPr>
        <w:jc w:val="center"/>
        <w:rPr>
          <w:rFonts w:ascii="Oracle Sans" w:hAnsi="Oracle Sans"/>
          <w:sz w:val="20"/>
          <w:szCs w:val="20"/>
        </w:rPr>
      </w:pPr>
      <w:r>
        <w:rPr>
          <w:rFonts w:ascii="Oracle Sans" w:hAnsi="Oracle Sans"/>
          <w:sz w:val="20"/>
          <w:szCs w:val="20"/>
        </w:rPr>
        <w:t>###</w:t>
      </w:r>
    </w:p>
    <w:p w14:paraId="3EA9A49A" w14:textId="77777777" w:rsidR="001E1441" w:rsidRDefault="001E1441" w:rsidP="001E1441">
      <w:pPr>
        <w:rPr>
          <w:rFonts w:ascii="Oracle Sans" w:hAnsi="Oracle Sans"/>
          <w:sz w:val="20"/>
          <w:szCs w:val="20"/>
        </w:rPr>
      </w:pPr>
    </w:p>
    <w:p w14:paraId="64618027" w14:textId="7A444569" w:rsidR="00806CCD" w:rsidRPr="001E1441" w:rsidRDefault="001E1441" w:rsidP="001E1441">
      <w:r>
        <w:rPr>
          <w:rFonts w:ascii="Oracle Sans" w:hAnsi="Oracle Sans"/>
          <w:b/>
          <w:bCs/>
          <w:color w:val="000000"/>
          <w:sz w:val="20"/>
          <w:szCs w:val="20"/>
        </w:rPr>
        <w:t>Contatti per i media</w:t>
      </w:r>
      <w:r>
        <w:rPr>
          <w:rFonts w:ascii="Oracle Sans" w:hAnsi="Oracle Sans"/>
          <w:b/>
          <w:bCs/>
          <w:color w:val="000000"/>
          <w:sz w:val="20"/>
          <w:szCs w:val="20"/>
        </w:rPr>
        <w:br/>
      </w:r>
      <w:r>
        <w:rPr>
          <w:rFonts w:ascii="Oracle Sans" w:hAnsi="Oracle Sans"/>
          <w:color w:val="000000"/>
          <w:sz w:val="20"/>
          <w:szCs w:val="20"/>
        </w:rPr>
        <w:t xml:space="preserve">Simona Menghini, ORACLE Italia: </w:t>
      </w:r>
      <w:proofErr w:type="spellStart"/>
      <w:r>
        <w:rPr>
          <w:rFonts w:ascii="Oracle Sans" w:hAnsi="Oracle Sans"/>
          <w:color w:val="000000"/>
          <w:sz w:val="20"/>
          <w:szCs w:val="20"/>
        </w:rPr>
        <w:t>cell</w:t>
      </w:r>
      <w:proofErr w:type="spellEnd"/>
      <w:r>
        <w:rPr>
          <w:rFonts w:ascii="Oracle Sans" w:hAnsi="Oracle Sans"/>
          <w:color w:val="000000"/>
          <w:sz w:val="20"/>
          <w:szCs w:val="20"/>
        </w:rPr>
        <w:t>. 342-6989617 </w:t>
      </w:r>
      <w:hyperlink r:id="rId18" w:tooltip="mailto:simona.menghini@oracle.com" w:history="1">
        <w:r>
          <w:rPr>
            <w:rStyle w:val="Collegamentoipertestuale"/>
            <w:rFonts w:ascii="Oracle Sans" w:hAnsi="Oracle Sans"/>
            <w:color w:val="000000"/>
            <w:sz w:val="20"/>
            <w:szCs w:val="20"/>
          </w:rPr>
          <w:t>simona.menghini@oracle.com</w:t>
        </w:r>
      </w:hyperlink>
      <w:r>
        <w:rPr>
          <w:rFonts w:ascii="Oracle Sans" w:hAnsi="Oracle Sans"/>
          <w:color w:val="000000"/>
          <w:sz w:val="20"/>
          <w:szCs w:val="20"/>
        </w:rPr>
        <w:br/>
        <w:t>Prima Pagina Comunicazione: Caterina Ferrara, Viviana Viviani, Ivonne Carpinelli - 0291339.811</w:t>
      </w:r>
      <w:r>
        <w:rPr>
          <w:rFonts w:ascii="Oracle Sans" w:hAnsi="Oracle Sans"/>
          <w:color w:val="000000"/>
          <w:sz w:val="20"/>
          <w:szCs w:val="20"/>
        </w:rPr>
        <w:br/>
      </w:r>
      <w:hyperlink r:id="rId19" w:tooltip="mailto:team.oracle@primapagina.it" w:history="1">
        <w:r>
          <w:rPr>
            <w:rStyle w:val="Collegamentoipertestuale"/>
            <w:rFonts w:ascii="Oracle Sans" w:hAnsi="Oracle Sans"/>
            <w:color w:val="000000"/>
            <w:sz w:val="20"/>
            <w:szCs w:val="20"/>
          </w:rPr>
          <w:t>team.oracle@primapagina.it</w:t>
        </w:r>
      </w:hyperlink>
    </w:p>
    <w:sectPr w:rsidR="00806CCD" w:rsidRPr="001E1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racle Sans">
    <w:altName w:val="Sylfaen"/>
    <w:charset w:val="00"/>
    <w:family w:val="swiss"/>
    <w:pitch w:val="variable"/>
    <w:sig w:usb0="A10006EF" w:usb1="400060FB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04A"/>
    <w:multiLevelType w:val="hybridMultilevel"/>
    <w:tmpl w:val="30DA6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112A"/>
    <w:multiLevelType w:val="multilevel"/>
    <w:tmpl w:val="4D4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27CDD"/>
    <w:multiLevelType w:val="hybridMultilevel"/>
    <w:tmpl w:val="E1BCA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A8C"/>
    <w:multiLevelType w:val="hybridMultilevel"/>
    <w:tmpl w:val="779C0B84"/>
    <w:lvl w:ilvl="0" w:tplc="1270C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13224">
    <w:abstractNumId w:val="1"/>
  </w:num>
  <w:num w:numId="2" w16cid:durableId="194588325">
    <w:abstractNumId w:val="0"/>
  </w:num>
  <w:num w:numId="3" w16cid:durableId="10976024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244515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D2"/>
    <w:rsid w:val="001E1441"/>
    <w:rsid w:val="006143D2"/>
    <w:rsid w:val="00806CCD"/>
    <w:rsid w:val="00A170EB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39D5"/>
  <w15:chartTrackingRefBased/>
  <w15:docId w15:val="{4901232B-8A74-401C-BC18-22ED83D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4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4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4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4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4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4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43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43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43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43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4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4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43D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43D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43D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43D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43D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43D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43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4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43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4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14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43D2"/>
    <w:rPr>
      <w:i/>
      <w:iCs/>
      <w:color w:val="404040" w:themeColor="text1" w:themeTint="BF"/>
    </w:rPr>
  </w:style>
  <w:style w:type="paragraph" w:styleId="Paragrafoelenco">
    <w:name w:val="List Paragraph"/>
    <w:aliases w:val="Bullet List,FooterText,List Paragraph1,numbered,Paragraphe de liste1,Bulletr List Paragraph,List Paragraph2,列出段落,列出段落1,List Paragraph21,Listeafsnit1,Parágrafo da Lista1,リスト段落1,Párrafo de lista1,Bullet list,List Paragraph11,Listenabsatz1"/>
    <w:basedOn w:val="Normale"/>
    <w:link w:val="ParagrafoelencoCarattere"/>
    <w:uiPriority w:val="34"/>
    <w:qFormat/>
    <w:rsid w:val="006143D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143D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3D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143D2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1E1441"/>
    <w:rPr>
      <w:color w:val="0563C1"/>
      <w:u w:val="single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Bulletr List Paragraph Carattere,List Paragraph2 Carattere,列出段落 Carattere,列出段落1 Carattere,リスト段落1 Carattere"/>
    <w:basedOn w:val="Carpredefinitoparagrafo"/>
    <w:link w:val="Paragrafoelenco"/>
    <w:uiPriority w:val="34"/>
    <w:locked/>
    <w:rsid w:val="001E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6B10.20238B20" TargetMode="External"/><Relationship Id="rId13" Type="http://schemas.openxmlformats.org/officeDocument/2006/relationships/hyperlink" Target="https://blogs.oracle.com/database/post/general-availability-globally-distributed-autonomous-database" TargetMode="External"/><Relationship Id="rId18" Type="http://schemas.openxmlformats.org/officeDocument/2006/relationships/hyperlink" Target="mailto:simona.menghini@oracl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oracle.com/it/news/announcement/ocw-integrated-vector-database-augments-generative-ai-2023-09-19/" TargetMode="External"/><Relationship Id="rId17" Type="http://schemas.openxmlformats.org/officeDocument/2006/relationships/hyperlink" Target="https://www.oracle.com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oracle.com/datawarehousing/post/now-is-the-time-to-innovate-with-ai-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acle.com/index.html" TargetMode="External"/><Relationship Id="rId11" Type="http://schemas.openxmlformats.org/officeDocument/2006/relationships/hyperlink" Target="https://www.oracle.com/it/news/announcement/oracle-announces-availability-oci-generative-ai-service-2024-01-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acle.com/it/autonomous-database/" TargetMode="External"/><Relationship Id="rId10" Type="http://schemas.openxmlformats.org/officeDocument/2006/relationships/hyperlink" Target="https://www.oracle.com/it/autonomous-database/" TargetMode="External"/><Relationship Id="rId19" Type="http://schemas.openxmlformats.org/officeDocument/2006/relationships/hyperlink" Target="mailto:team.oracle@primapag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cle.com/it/autonomous-database/distributed-autonomous-database/" TargetMode="External"/><Relationship Id="rId14" Type="http://schemas.openxmlformats.org/officeDocument/2006/relationships/hyperlink" Target="https://blogs.oracle.com/database/post/leading-industry-analysts-perspectives-on-globally-distributed-autonomous-database-general-availabil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4F6B-E881-49EC-92CB-2E33695E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7148</Characters>
  <Application>Microsoft Office Word</Application>
  <DocSecurity>0</DocSecurity>
  <Lines>100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Carpinelli</dc:creator>
  <cp:keywords/>
  <dc:description/>
  <cp:lastModifiedBy>Ivonne Carpinelli</cp:lastModifiedBy>
  <cp:revision>1</cp:revision>
  <dcterms:created xsi:type="dcterms:W3CDTF">2024-03-04T11:51:00Z</dcterms:created>
  <dcterms:modified xsi:type="dcterms:W3CDTF">2024-03-04T15:54:00Z</dcterms:modified>
</cp:coreProperties>
</file>